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55" w:rsidRPr="00F40159" w:rsidRDefault="00671955" w:rsidP="00671955">
      <w:pPr>
        <w:spacing w:after="0"/>
        <w:rPr>
          <w:b/>
        </w:rPr>
      </w:pPr>
      <w:r w:rsidRPr="00F40159">
        <w:rPr>
          <w:b/>
        </w:rPr>
        <w:t>Learning Together: Personal and Community Wellbeing</w:t>
      </w:r>
    </w:p>
    <w:p w:rsidR="00671955" w:rsidRPr="00F40159" w:rsidRDefault="00671955" w:rsidP="00671955">
      <w:pPr>
        <w:spacing w:after="0"/>
        <w:rPr>
          <w:b/>
        </w:rPr>
      </w:pPr>
      <w:r w:rsidRPr="00F40159">
        <w:rPr>
          <w:b/>
        </w:rPr>
        <w:t xml:space="preserve">Part </w:t>
      </w:r>
      <w:r>
        <w:rPr>
          <w:b/>
        </w:rPr>
        <w:t>Two</w:t>
      </w:r>
      <w:r w:rsidRPr="00F40159">
        <w:rPr>
          <w:b/>
        </w:rPr>
        <w:t xml:space="preserve"> (of two): </w:t>
      </w:r>
      <w:r>
        <w:rPr>
          <w:b/>
        </w:rPr>
        <w:t>Community</w:t>
      </w:r>
      <w:r w:rsidRPr="00F40159">
        <w:rPr>
          <w:b/>
        </w:rPr>
        <w:t xml:space="preserve"> Wellbeing</w:t>
      </w:r>
    </w:p>
    <w:p w:rsidR="00771346" w:rsidRPr="00664D20" w:rsidRDefault="00664D20" w:rsidP="00600B61">
      <w:pPr>
        <w:spacing w:after="0"/>
        <w:rPr>
          <w:sz w:val="16"/>
          <w:szCs w:val="16"/>
        </w:rPr>
      </w:pPr>
      <w:r>
        <w:t>Community Wellbeing and Personal W</w:t>
      </w:r>
      <w:r w:rsidR="00C027E9">
        <w:t xml:space="preserve">ellbeing are obviously related (that’s one of the reasons we decided to group them together in </w:t>
      </w:r>
      <w:r w:rsidR="00C027E9">
        <w:rPr>
          <w:i/>
        </w:rPr>
        <w:t xml:space="preserve">Learning Together!). </w:t>
      </w:r>
      <w:r w:rsidR="00C027E9">
        <w:t>O</w:t>
      </w:r>
      <w:r w:rsidR="00961F31">
        <w:t xml:space="preserve">ur </w:t>
      </w:r>
      <w:r w:rsidR="00550731">
        <w:t xml:space="preserve">Judeo-Christian heritage </w:t>
      </w:r>
      <w:r w:rsidR="00C9233E">
        <w:t>believes that the wellbeing of an individual is derived from his or her community</w:t>
      </w:r>
      <w:r w:rsidR="00C027E9">
        <w:t xml:space="preserve">; </w:t>
      </w:r>
      <w:r w:rsidR="009E1828">
        <w:t xml:space="preserve">the </w:t>
      </w:r>
      <w:r>
        <w:t>Greek/</w:t>
      </w:r>
      <w:r w:rsidR="009E1828">
        <w:t>Enlightenment</w:t>
      </w:r>
      <w:r w:rsidR="00961F31">
        <w:t xml:space="preserve"> view </w:t>
      </w:r>
      <w:r w:rsidR="009E1828">
        <w:t xml:space="preserve">believes </w:t>
      </w:r>
      <w:r w:rsidR="00671955">
        <w:t xml:space="preserve">that </w:t>
      </w:r>
      <w:r w:rsidR="009E1828">
        <w:t>a community’s wellbeing is comprised of the sum of the wellbeing of individuals of which it is comprised</w:t>
      </w:r>
      <w:r w:rsidR="00C027E9">
        <w:t xml:space="preserve">. </w:t>
      </w:r>
      <w:r w:rsidR="009E1828">
        <w:rPr>
          <w:color w:val="121212"/>
          <w:shd w:val="clear" w:color="auto" w:fill="FFFFFF"/>
        </w:rPr>
        <w:t xml:space="preserve">Wherever you would place yourself on the kind of continuum implied by those positions, Luke suggests that the following diagram sums up the need to balance care for the wellbeing of others and care for one’s own wellbeing </w:t>
      </w:r>
      <w:r w:rsidR="00961F31">
        <w:rPr>
          <w:color w:val="121212"/>
          <w:shd w:val="clear" w:color="auto" w:fill="FFFFFF"/>
        </w:rPr>
        <w:t>in a helpful way</w:t>
      </w:r>
      <w:r w:rsidR="009E1828">
        <w:rPr>
          <w:color w:val="121212"/>
          <w:shd w:val="clear" w:color="auto" w:fill="FFFFFF"/>
        </w:rPr>
        <w:t xml:space="preserve">. </w:t>
      </w:r>
      <w:r>
        <w:rPr>
          <w:color w:val="121212"/>
          <w:shd w:val="clear" w:color="auto" w:fill="FFFFFF"/>
        </w:rPr>
        <w:t>(</w:t>
      </w:r>
      <w:r w:rsidRPr="00664D20">
        <w:rPr>
          <w:sz w:val="16"/>
          <w:szCs w:val="16"/>
        </w:rPr>
        <w:t>T. M. Skovholt and M. Trotter-Mathison</w:t>
      </w:r>
      <w:r>
        <w:rPr>
          <w:sz w:val="16"/>
          <w:szCs w:val="16"/>
        </w:rPr>
        <w:t xml:space="preserve">: </w:t>
      </w:r>
      <w:r w:rsidRPr="00664D20">
        <w:rPr>
          <w:i/>
          <w:sz w:val="16"/>
          <w:szCs w:val="16"/>
        </w:rPr>
        <w:t>The Resilient Practitioner</w:t>
      </w:r>
      <w:r>
        <w:rPr>
          <w:sz w:val="16"/>
          <w:szCs w:val="16"/>
        </w:rPr>
        <w:t>)</w:t>
      </w:r>
      <w:r w:rsidRPr="00664D20">
        <w:rPr>
          <w:i/>
          <w:sz w:val="16"/>
          <w:szCs w:val="16"/>
        </w:rPr>
        <w:t xml:space="preserve"> </w:t>
      </w:r>
    </w:p>
    <w:p w:rsidR="00771346" w:rsidRDefault="00771346" w:rsidP="00771346">
      <w:pPr>
        <w:jc w:val="center"/>
      </w:pPr>
      <w:r>
        <w:rPr>
          <w:noProof/>
        </w:rPr>
        <w:drawing>
          <wp:inline distT="0" distB="0" distL="0" distR="0" wp14:anchorId="6DE80B94" wp14:editId="7A11301D">
            <wp:extent cx="2886075" cy="2462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her-care-self-care balance-31072019140002-0001 - Crop.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5432" cy="2462414"/>
                    </a:xfrm>
                    <a:prstGeom prst="rect">
                      <a:avLst/>
                    </a:prstGeom>
                  </pic:spPr>
                </pic:pic>
              </a:graphicData>
            </a:graphic>
          </wp:inline>
        </w:drawing>
      </w:r>
    </w:p>
    <w:p w:rsidR="00437164" w:rsidRDefault="00C027E9" w:rsidP="00600B61">
      <w:pPr>
        <w:spacing w:after="0"/>
        <w:rPr>
          <w:color w:val="121212"/>
          <w:shd w:val="clear" w:color="auto" w:fill="FFFFFF"/>
        </w:rPr>
      </w:pPr>
      <w:r>
        <w:rPr>
          <w:color w:val="121212"/>
          <w:shd w:val="clear" w:color="auto" w:fill="FFFFFF"/>
        </w:rPr>
        <w:t>The diagram c</w:t>
      </w:r>
      <w:r w:rsidR="00961F31">
        <w:rPr>
          <w:color w:val="121212"/>
          <w:shd w:val="clear" w:color="auto" w:fill="FFFFFF"/>
        </w:rPr>
        <w:t xml:space="preserve">an also be applied to the </w:t>
      </w:r>
      <w:r>
        <w:rPr>
          <w:color w:val="121212"/>
          <w:shd w:val="clear" w:color="auto" w:fill="FFFFFF"/>
        </w:rPr>
        <w:t xml:space="preserve">need to </w:t>
      </w:r>
      <w:r w:rsidR="00961F31">
        <w:rPr>
          <w:color w:val="121212"/>
          <w:shd w:val="clear" w:color="auto" w:fill="FFFFFF"/>
        </w:rPr>
        <w:t xml:space="preserve">balance a community’s focus on its own needs and </w:t>
      </w:r>
      <w:r>
        <w:rPr>
          <w:color w:val="121212"/>
          <w:shd w:val="clear" w:color="auto" w:fill="FFFFFF"/>
        </w:rPr>
        <w:t xml:space="preserve">the needs of those surrounding the community, if, as some believe, such a balance is necessary for the health and wellbeing of a community. For example, </w:t>
      </w:r>
      <w:r w:rsidR="000B5C4B">
        <w:rPr>
          <w:color w:val="121212"/>
          <w:shd w:val="clear" w:color="auto" w:fill="FFFFFF"/>
        </w:rPr>
        <w:t>Viktor Frankl’s research</w:t>
      </w:r>
      <w:r w:rsidR="00961F31">
        <w:rPr>
          <w:color w:val="121212"/>
          <w:shd w:val="clear" w:color="auto" w:fill="FFFFFF"/>
        </w:rPr>
        <w:t>, tested in the</w:t>
      </w:r>
      <w:r w:rsidR="000B5C4B">
        <w:rPr>
          <w:color w:val="121212"/>
          <w:shd w:val="clear" w:color="auto" w:fill="FFFFFF"/>
        </w:rPr>
        <w:t xml:space="preserve"> </w:t>
      </w:r>
      <w:r w:rsidR="00961F31">
        <w:rPr>
          <w:color w:val="121212"/>
          <w:shd w:val="clear" w:color="auto" w:fill="FFFFFF"/>
        </w:rPr>
        <w:t>extermination camps of WWII, concluded that those who had a goal or a relationship outside of themselves, and who gave themselves to that goal or relationship, were those most likely to survive and prosper.</w:t>
      </w:r>
      <w:r w:rsidR="00437164">
        <w:rPr>
          <w:color w:val="121212"/>
          <w:shd w:val="clear" w:color="auto" w:fill="FFFFFF"/>
        </w:rPr>
        <w:t xml:space="preserve"> Many</w:t>
      </w:r>
    </w:p>
    <w:p w:rsidR="00F1643C" w:rsidRDefault="00437164" w:rsidP="00600B61">
      <w:pPr>
        <w:spacing w:after="0"/>
        <w:rPr>
          <w:color w:val="121212"/>
          <w:shd w:val="clear" w:color="auto" w:fill="FFFFFF"/>
        </w:rPr>
      </w:pPr>
      <w:proofErr w:type="gramStart"/>
      <w:r>
        <w:rPr>
          <w:color w:val="121212"/>
          <w:shd w:val="clear" w:color="auto" w:fill="FFFFFF"/>
        </w:rPr>
        <w:t>w</w:t>
      </w:r>
      <w:r w:rsidR="00F1643C">
        <w:rPr>
          <w:color w:val="121212"/>
          <w:shd w:val="clear" w:color="auto" w:fill="FFFFFF"/>
        </w:rPr>
        <w:t>riters</w:t>
      </w:r>
      <w:proofErr w:type="gramEnd"/>
      <w:r w:rsidR="00F1643C">
        <w:rPr>
          <w:color w:val="121212"/>
          <w:shd w:val="clear" w:color="auto" w:fill="FFFFFF"/>
        </w:rPr>
        <w:t xml:space="preserve"> and community practitioners</w:t>
      </w:r>
      <w:r w:rsidR="00C027E9">
        <w:rPr>
          <w:color w:val="121212"/>
          <w:shd w:val="clear" w:color="auto" w:fill="FFFFFF"/>
        </w:rPr>
        <w:t xml:space="preserve"> (e.g. Jean Vanier, Henri Nouwen, </w:t>
      </w:r>
      <w:r w:rsidR="00664D20">
        <w:rPr>
          <w:color w:val="121212"/>
          <w:shd w:val="clear" w:color="auto" w:fill="FFFFFF"/>
        </w:rPr>
        <w:t xml:space="preserve">Dietrich Bonhoeffer </w:t>
      </w:r>
      <w:r w:rsidR="00C027E9">
        <w:rPr>
          <w:color w:val="121212"/>
          <w:shd w:val="clear" w:color="auto" w:fill="FFFFFF"/>
        </w:rPr>
        <w:t>and Erich Fromm)</w:t>
      </w:r>
      <w:r w:rsidR="00F1643C">
        <w:rPr>
          <w:color w:val="121212"/>
          <w:shd w:val="clear" w:color="auto" w:fill="FFFFFF"/>
        </w:rPr>
        <w:t xml:space="preserve"> conclude that the same is true for communities. </w:t>
      </w:r>
    </w:p>
    <w:p w:rsidR="000B5C4B" w:rsidRDefault="00F1643C" w:rsidP="00600B61">
      <w:pPr>
        <w:spacing w:after="0"/>
      </w:pPr>
      <w:r>
        <w:rPr>
          <w:color w:val="121212"/>
          <w:shd w:val="clear" w:color="auto" w:fill="FFFFFF"/>
        </w:rPr>
        <w:t xml:space="preserve"> </w:t>
      </w:r>
    </w:p>
    <w:p w:rsidR="00437164" w:rsidRDefault="00C027E9" w:rsidP="00CD5D2C">
      <w:pPr>
        <w:spacing w:after="0"/>
      </w:pPr>
      <w:r>
        <w:t xml:space="preserve">But </w:t>
      </w:r>
      <w:r w:rsidR="003445DE">
        <w:t>the wellbeing of a community needs more tha</w:t>
      </w:r>
      <w:r>
        <w:t xml:space="preserve">n </w:t>
      </w:r>
      <w:r w:rsidR="003445DE">
        <w:t xml:space="preserve">an </w:t>
      </w:r>
      <w:r>
        <w:t xml:space="preserve">appropriate balance between an outward focus and </w:t>
      </w:r>
      <w:r w:rsidR="003445DE">
        <w:t>attention to internal needs and processes. The Hebrew notion of shalom</w:t>
      </w:r>
      <w:r w:rsidR="003D4987">
        <w:t xml:space="preserve">, which gives rise to </w:t>
      </w:r>
      <w:r w:rsidR="003445DE">
        <w:t xml:space="preserve">specific instructions about healthy </w:t>
      </w:r>
      <w:r w:rsidR="003D4987">
        <w:t xml:space="preserve">attitudes, </w:t>
      </w:r>
      <w:r w:rsidR="003445DE">
        <w:t>social and interpersonal processes</w:t>
      </w:r>
      <w:r w:rsidR="00437164">
        <w:t xml:space="preserve"> (Torah)</w:t>
      </w:r>
      <w:r w:rsidR="003445DE">
        <w:t>, is one attempt to promote a community’s wellbeing. The Australian first</w:t>
      </w:r>
      <w:r w:rsidR="003D4987" w:rsidRPr="003D4987">
        <w:t xml:space="preserve"> </w:t>
      </w:r>
      <w:r w:rsidR="003D4987">
        <w:t xml:space="preserve">nations’ </w:t>
      </w:r>
      <w:r w:rsidR="0086097A">
        <w:t xml:space="preserve">notion of The </w:t>
      </w:r>
      <w:r w:rsidR="003D4987">
        <w:t>Dreaming (</w:t>
      </w:r>
      <w:r w:rsidR="003445DE">
        <w:t>Tjukurpa</w:t>
      </w:r>
      <w:r w:rsidR="00CD5D2C">
        <w:t xml:space="preserve"> in Anangu</w:t>
      </w:r>
      <w:r w:rsidR="0086097A">
        <w:t xml:space="preserve">) </w:t>
      </w:r>
      <w:r w:rsidR="003445DE">
        <w:t>which describes the way in which individuals relate with</w:t>
      </w:r>
      <w:r w:rsidR="0086097A">
        <w:t xml:space="preserve"> and care for </w:t>
      </w:r>
      <w:r w:rsidR="003445DE">
        <w:t xml:space="preserve">one another and the environment around them, is another.   </w:t>
      </w:r>
    </w:p>
    <w:p w:rsidR="00CD5D2C" w:rsidRPr="00CD5D2C" w:rsidRDefault="003445DE" w:rsidP="00CD5D2C">
      <w:pPr>
        <w:spacing w:after="0"/>
        <w:rPr>
          <w:rFonts w:cs="Arial"/>
          <w:shd w:val="clear" w:color="auto" w:fill="FFFFFF"/>
        </w:rPr>
      </w:pPr>
      <w:r>
        <w:t>In more</w:t>
      </w:r>
      <w:r w:rsidR="003D4987">
        <w:t xml:space="preserve"> </w:t>
      </w:r>
      <w:r>
        <w:t>modern times</w:t>
      </w:r>
      <w:r w:rsidR="0086097A">
        <w:t xml:space="preserve"> (1972!), </w:t>
      </w:r>
      <w:r w:rsidR="00C00252">
        <w:t>the former king of Bhutan</w:t>
      </w:r>
      <w:r w:rsidR="0086097A">
        <w:t xml:space="preserve"> initiated a measure of national wellbeing </w:t>
      </w:r>
      <w:r w:rsidR="00C00252">
        <w:t>Gross National Happiness (GNH)</w:t>
      </w:r>
      <w:r w:rsidR="0086097A">
        <w:t xml:space="preserve">. </w:t>
      </w:r>
      <w:r w:rsidR="002E485F">
        <w:t xml:space="preserve"> </w:t>
      </w:r>
      <w:r w:rsidR="00C00252">
        <w:t xml:space="preserve"> </w:t>
      </w:r>
      <w:r w:rsidR="00B44016">
        <w:t>G</w:t>
      </w:r>
      <w:r w:rsidR="002E485F">
        <w:t xml:space="preserve">NH has 4 ‘pillars’: </w:t>
      </w:r>
      <w:r w:rsidR="00CD5D2C">
        <w:t xml:space="preserve">(i) </w:t>
      </w:r>
      <w:hyperlink r:id="rId7" w:tooltip="Sustainable development" w:history="1">
        <w:r w:rsidR="002E485F" w:rsidRPr="002E485F">
          <w:rPr>
            <w:rStyle w:val="Hyperlink"/>
            <w:rFonts w:cs="Arial"/>
            <w:color w:val="auto"/>
            <w:u w:val="none"/>
            <w:shd w:val="clear" w:color="auto" w:fill="FFFFFF"/>
          </w:rPr>
          <w:t>sustainable</w:t>
        </w:r>
      </w:hyperlink>
      <w:r w:rsidR="002E485F" w:rsidRPr="002E485F">
        <w:rPr>
          <w:rFonts w:cs="Arial"/>
          <w:shd w:val="clear" w:color="auto" w:fill="FFFFFF"/>
        </w:rPr>
        <w:t> and </w:t>
      </w:r>
      <w:hyperlink r:id="rId8" w:tooltip="Social development theory" w:history="1">
        <w:r w:rsidR="002E485F" w:rsidRPr="002E485F">
          <w:rPr>
            <w:rStyle w:val="Hyperlink"/>
            <w:rFonts w:cs="Arial"/>
            <w:color w:val="auto"/>
            <w:u w:val="none"/>
            <w:shd w:val="clear" w:color="auto" w:fill="FFFFFF"/>
          </w:rPr>
          <w:t>equitable</w:t>
        </w:r>
      </w:hyperlink>
      <w:r w:rsidR="00437164">
        <w:rPr>
          <w:rFonts w:cs="Arial"/>
          <w:shd w:val="clear" w:color="auto" w:fill="FFFFFF"/>
        </w:rPr>
        <w:t xml:space="preserve"> </w:t>
      </w:r>
      <w:r w:rsidR="002E485F" w:rsidRPr="002E485F">
        <w:rPr>
          <w:rFonts w:cs="Arial"/>
          <w:shd w:val="clear" w:color="auto" w:fill="FFFFFF"/>
        </w:rPr>
        <w:t>socio-economic development; </w:t>
      </w:r>
      <w:r w:rsidR="00E778FE">
        <w:rPr>
          <w:rFonts w:cs="Arial"/>
          <w:shd w:val="clear" w:color="auto" w:fill="FFFFFF"/>
        </w:rPr>
        <w:t xml:space="preserve">(ii) </w:t>
      </w:r>
      <w:hyperlink r:id="rId9" w:tooltip="Environmental protection" w:history="1">
        <w:r w:rsidR="002E485F" w:rsidRPr="002E485F">
          <w:rPr>
            <w:rStyle w:val="Hyperlink"/>
            <w:rFonts w:cs="Arial"/>
            <w:color w:val="auto"/>
            <w:u w:val="none"/>
            <w:shd w:val="clear" w:color="auto" w:fill="FFFFFF"/>
          </w:rPr>
          <w:t>environmental conservation</w:t>
        </w:r>
      </w:hyperlink>
      <w:r w:rsidR="002E485F" w:rsidRPr="002E485F">
        <w:rPr>
          <w:rFonts w:cs="Arial"/>
          <w:shd w:val="clear" w:color="auto" w:fill="FFFFFF"/>
        </w:rPr>
        <w:t xml:space="preserve">; </w:t>
      </w:r>
      <w:r w:rsidR="00E778FE">
        <w:rPr>
          <w:rFonts w:cs="Arial"/>
          <w:shd w:val="clear" w:color="auto" w:fill="FFFFFF"/>
        </w:rPr>
        <w:t xml:space="preserve">(iii) </w:t>
      </w:r>
      <w:r w:rsidR="002E485F" w:rsidRPr="002E485F">
        <w:rPr>
          <w:rFonts w:cs="Arial"/>
          <w:shd w:val="clear" w:color="auto" w:fill="FFFFFF"/>
        </w:rPr>
        <w:t>preservation and promotion of culture; and</w:t>
      </w:r>
      <w:r w:rsidR="002E485F">
        <w:rPr>
          <w:rFonts w:cs="Arial"/>
          <w:shd w:val="clear" w:color="auto" w:fill="FFFFFF"/>
        </w:rPr>
        <w:t xml:space="preserve"> </w:t>
      </w:r>
      <w:proofErr w:type="gramStart"/>
      <w:r w:rsidR="00437164">
        <w:rPr>
          <w:rFonts w:cs="Arial"/>
          <w:shd w:val="clear" w:color="auto" w:fill="FFFFFF"/>
        </w:rPr>
        <w:t xml:space="preserve">(iv) </w:t>
      </w:r>
      <w:r w:rsidR="00CD5D2C">
        <w:rPr>
          <w:rFonts w:cs="Arial"/>
          <w:shd w:val="clear" w:color="auto" w:fill="FFFFFF"/>
        </w:rPr>
        <w:t>good</w:t>
      </w:r>
      <w:proofErr w:type="gramEnd"/>
      <w:r w:rsidR="00CD5D2C">
        <w:rPr>
          <w:rFonts w:cs="Arial"/>
          <w:shd w:val="clear" w:color="auto" w:fill="FFFFFF"/>
        </w:rPr>
        <w:t xml:space="preserve"> </w:t>
      </w:r>
      <w:r w:rsidR="002E485F" w:rsidRPr="002E485F">
        <w:rPr>
          <w:rFonts w:cs="Arial"/>
          <w:shd w:val="clear" w:color="auto" w:fill="FFFFFF"/>
        </w:rPr>
        <w:t>governance</w:t>
      </w:r>
      <w:r w:rsidR="002E485F" w:rsidRPr="002E485F">
        <w:rPr>
          <w:rFonts w:ascii="Arial" w:hAnsi="Arial" w:cs="Arial"/>
          <w:color w:val="222222"/>
          <w:sz w:val="21"/>
          <w:szCs w:val="21"/>
          <w:shd w:val="clear" w:color="auto" w:fill="FFFFFF"/>
        </w:rPr>
        <w:t>.</w:t>
      </w:r>
      <w:r w:rsidR="00664D20">
        <w:rPr>
          <w:rFonts w:ascii="Arial" w:hAnsi="Arial" w:cs="Arial"/>
          <w:color w:val="222222"/>
          <w:sz w:val="21"/>
          <w:szCs w:val="21"/>
          <w:shd w:val="clear" w:color="auto" w:fill="FFFFFF"/>
        </w:rPr>
        <w:t xml:space="preserve"> (</w:t>
      </w:r>
      <w:hyperlink r:id="rId10" w:history="1">
        <w:r w:rsidR="00CD5D2C" w:rsidRPr="0003119E">
          <w:rPr>
            <w:rStyle w:val="Hyperlink"/>
            <w:sz w:val="16"/>
            <w:szCs w:val="16"/>
          </w:rPr>
          <w:t>https://en.wikipedia.org/wiki/Gross_National_Happiness</w:t>
        </w:r>
      </w:hyperlink>
      <w:r w:rsidR="00664D20">
        <w:rPr>
          <w:rStyle w:val="Hyperlink"/>
          <w:sz w:val="16"/>
          <w:szCs w:val="16"/>
        </w:rPr>
        <w:t>)</w:t>
      </w:r>
    </w:p>
    <w:p w:rsidR="00E778FE" w:rsidRDefault="0086097A" w:rsidP="00B44016">
      <w:pPr>
        <w:spacing w:after="0"/>
      </w:pPr>
      <w:r>
        <w:lastRenderedPageBreak/>
        <w:t xml:space="preserve">Here in Australia, </w:t>
      </w:r>
      <w:r w:rsidR="00F62B45">
        <w:t xml:space="preserve">Community Indicators </w:t>
      </w:r>
      <w:r>
        <w:t>Victoria</w:t>
      </w:r>
      <w:r w:rsidR="00F62B45">
        <w:t xml:space="preserve"> </w:t>
      </w:r>
      <w:r w:rsidR="00437164">
        <w:t>(</w:t>
      </w:r>
      <w:r w:rsidR="00F62B45">
        <w:t xml:space="preserve">in a </w:t>
      </w:r>
      <w:r w:rsidR="00437164">
        <w:t xml:space="preserve">research </w:t>
      </w:r>
      <w:r w:rsidR="00F62B45">
        <w:t>pro</w:t>
      </w:r>
      <w:r w:rsidR="00437164">
        <w:t>ject</w:t>
      </w:r>
      <w:r w:rsidR="00F62B45">
        <w:t xml:space="preserve"> funded by the state government from </w:t>
      </w:r>
      <w:r>
        <w:t>2005-2007</w:t>
      </w:r>
      <w:proofErr w:type="gramStart"/>
      <w:r w:rsidR="00437164">
        <w:t>)</w:t>
      </w:r>
      <w:r w:rsidR="00F62B45">
        <w:t>suggested</w:t>
      </w:r>
      <w:proofErr w:type="gramEnd"/>
      <w:r w:rsidR="00F62B45">
        <w:t xml:space="preserve"> 5 indicators of community wellbeing, which described what constituted:</w:t>
      </w:r>
      <w:r>
        <w:t xml:space="preserve">  </w:t>
      </w:r>
    </w:p>
    <w:p w:rsidR="00B44016" w:rsidRPr="00CD5D2C" w:rsidRDefault="00E778FE" w:rsidP="00B44016">
      <w:pPr>
        <w:spacing w:after="0"/>
        <w:rPr>
          <w:sz w:val="16"/>
          <w:szCs w:val="16"/>
        </w:rPr>
      </w:pPr>
      <w:r>
        <w:t xml:space="preserve">(i) </w:t>
      </w:r>
      <w:r w:rsidR="00B44016" w:rsidRPr="002E485F">
        <w:t xml:space="preserve">Healthy, safe and inclusive communities; </w:t>
      </w:r>
      <w:r>
        <w:t xml:space="preserve">(ii) </w:t>
      </w:r>
      <w:r w:rsidR="00B44016">
        <w:t xml:space="preserve">Dynamic, resilient local economies; </w:t>
      </w:r>
      <w:r>
        <w:t xml:space="preserve">(iii) </w:t>
      </w:r>
      <w:r w:rsidR="00B44016">
        <w:t xml:space="preserve">Sustainable built and natural environments; </w:t>
      </w:r>
      <w:r>
        <w:t xml:space="preserve">(iv) </w:t>
      </w:r>
      <w:r w:rsidR="00B44016">
        <w:t xml:space="preserve">Culturally rich and vibrant communities; and </w:t>
      </w:r>
      <w:r>
        <w:t xml:space="preserve">(v) </w:t>
      </w:r>
      <w:r w:rsidR="00B44016">
        <w:t>Democratic and engaged communities</w:t>
      </w:r>
      <w:r w:rsidR="00B44016" w:rsidRPr="00CD5D2C">
        <w:rPr>
          <w:sz w:val="16"/>
          <w:szCs w:val="16"/>
        </w:rPr>
        <w:t xml:space="preserve">. </w:t>
      </w:r>
      <w:r w:rsidR="00664D20">
        <w:rPr>
          <w:sz w:val="16"/>
          <w:szCs w:val="16"/>
        </w:rPr>
        <w:t>(</w:t>
      </w:r>
      <w:hyperlink r:id="rId11" w:history="1">
        <w:r w:rsidR="002E485F" w:rsidRPr="00CD5D2C">
          <w:rPr>
            <w:rStyle w:val="Hyperlink"/>
            <w:sz w:val="16"/>
            <w:szCs w:val="16"/>
          </w:rPr>
          <w:t>https://naaee.org/sites/default/files/civresourceguide.pdf</w:t>
        </w:r>
      </w:hyperlink>
      <w:r w:rsidR="00664D20">
        <w:rPr>
          <w:rStyle w:val="Hyperlink"/>
          <w:sz w:val="16"/>
          <w:szCs w:val="16"/>
        </w:rPr>
        <w:t>)</w:t>
      </w:r>
    </w:p>
    <w:p w:rsidR="00F1643C" w:rsidRPr="00CD5D2C" w:rsidRDefault="00F1643C" w:rsidP="00B44016">
      <w:pPr>
        <w:spacing w:after="0"/>
        <w:rPr>
          <w:b/>
          <w:sz w:val="16"/>
          <w:szCs w:val="16"/>
        </w:rPr>
      </w:pPr>
    </w:p>
    <w:p w:rsidR="00E778FE" w:rsidRDefault="008F51FD" w:rsidP="00437164">
      <w:pPr>
        <w:spacing w:after="0"/>
        <w:rPr>
          <w:rFonts w:cs="Arial"/>
          <w:color w:val="222222"/>
          <w:shd w:val="clear" w:color="auto" w:fill="FFFFFF"/>
        </w:rPr>
      </w:pPr>
      <w:r>
        <w:rPr>
          <w:rFonts w:cs="Arial"/>
          <w:color w:val="222222"/>
          <w:shd w:val="clear" w:color="auto" w:fill="FFFFFF"/>
        </w:rPr>
        <w:t xml:space="preserve">We in Poatina might </w:t>
      </w:r>
      <w:r w:rsidR="00E778FE">
        <w:rPr>
          <w:rFonts w:cs="Arial"/>
          <w:color w:val="222222"/>
          <w:shd w:val="clear" w:color="auto" w:fill="FFFFFF"/>
        </w:rPr>
        <w:t xml:space="preserve">describe our wellbeing as the degree to which we are practicing the 21 guiding principles we identified at the first Poatina Weekend (see appendix). </w:t>
      </w:r>
    </w:p>
    <w:p w:rsidR="00771346" w:rsidRPr="00771346" w:rsidRDefault="00437164" w:rsidP="00437164">
      <w:pPr>
        <w:spacing w:after="0"/>
        <w:rPr>
          <w:rFonts w:cstheme="minorHAnsi"/>
        </w:rPr>
      </w:pPr>
      <w:r>
        <w:rPr>
          <w:rFonts w:cs="Arial"/>
          <w:color w:val="222222"/>
          <w:shd w:val="clear" w:color="auto" w:fill="FFFFFF"/>
        </w:rPr>
        <w:t xml:space="preserve">The process of measurement and evaluation of those principles </w:t>
      </w:r>
      <w:r w:rsidR="00E778FE">
        <w:rPr>
          <w:rFonts w:cs="Arial"/>
          <w:color w:val="222222"/>
          <w:shd w:val="clear" w:color="auto" w:fill="FFFFFF"/>
        </w:rPr>
        <w:t xml:space="preserve">might lead to us to thinking about how we </w:t>
      </w:r>
      <w:r>
        <w:rPr>
          <w:rFonts w:cs="Arial"/>
          <w:color w:val="222222"/>
          <w:shd w:val="clear" w:color="auto" w:fill="FFFFFF"/>
        </w:rPr>
        <w:t>could</w:t>
      </w:r>
      <w:r w:rsidR="00E778FE">
        <w:rPr>
          <w:rFonts w:cs="Arial"/>
          <w:color w:val="222222"/>
          <w:shd w:val="clear" w:color="auto" w:fill="FFFFFF"/>
        </w:rPr>
        <w:t xml:space="preserve"> improve our practice of those principles. And here </w:t>
      </w:r>
      <w:r w:rsidR="00D63EE7">
        <w:rPr>
          <w:rFonts w:cs="Arial"/>
          <w:color w:val="222222"/>
          <w:shd w:val="clear" w:color="auto" w:fill="FFFFFF"/>
        </w:rPr>
        <w:t>Luke suggests th</w:t>
      </w:r>
      <w:r w:rsidR="00E778FE">
        <w:rPr>
          <w:rFonts w:cs="Arial"/>
          <w:color w:val="222222"/>
          <w:shd w:val="clear" w:color="auto" w:fill="FFFFFF"/>
        </w:rPr>
        <w:t>at th</w:t>
      </w:r>
      <w:r w:rsidR="00D63EE7">
        <w:rPr>
          <w:rFonts w:cs="Arial"/>
          <w:color w:val="222222"/>
          <w:shd w:val="clear" w:color="auto" w:fill="FFFFFF"/>
        </w:rPr>
        <w:t>e following</w:t>
      </w:r>
      <w:r w:rsidR="00E778FE">
        <w:rPr>
          <w:rFonts w:cs="Arial"/>
          <w:color w:val="222222"/>
          <w:shd w:val="clear" w:color="auto" w:fill="FFFFFF"/>
        </w:rPr>
        <w:t xml:space="preserve"> principles that emerged from a community development forum in Fiji some years ago might be worthy of our consideration. For</w:t>
      </w:r>
      <w:r>
        <w:rPr>
          <w:rFonts w:cs="Arial"/>
          <w:color w:val="222222"/>
          <w:shd w:val="clear" w:color="auto" w:fill="FFFFFF"/>
        </w:rPr>
        <w:t>,</w:t>
      </w:r>
      <w:r w:rsidR="00E778FE">
        <w:rPr>
          <w:rFonts w:cs="Arial"/>
          <w:color w:val="222222"/>
          <w:shd w:val="clear" w:color="auto" w:fill="FFFFFF"/>
        </w:rPr>
        <w:t xml:space="preserve"> as important as our community’s guiding principles are, the principles which guide their implementation</w:t>
      </w:r>
      <w:r w:rsidR="001254FA">
        <w:rPr>
          <w:rFonts w:cs="Arial"/>
          <w:color w:val="222222"/>
          <w:shd w:val="clear" w:color="auto" w:fill="FFFFFF"/>
        </w:rPr>
        <w:t xml:space="preserve"> (which also reflect Asset Based Community Development practices) are probably just as important. The 12 principles are:       </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People are more important than things; people are more important than programs.</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Growth comes from within people; all people have talents waiting to be developed.</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People grow in responsibility as they are helped to accept greater responsibilities.</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The most effective venue for training the community is in the community itself.</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People learn most effectively when what they are learning is relevant and built on the basis of their experiences.</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As communities are integrated, they are best served by integrated development rather than by departmentalized units working in isolation from one another.</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The most effective helper is a person who strongly identifies with the community and who develops a relationship with that community based on trust.</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Communities know their own problems and the solutions that will work better than others from outside the community do.</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The energy any community will put into any activity will be in proportion to their involvement in the planning of that activity.</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The pace of development will be determined by the community; a particular change will only become permanent if the community is ready for it.</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People should be helped only in so far as this assistance enables them to become more self-reliant.</w:t>
      </w:r>
    </w:p>
    <w:p w:rsidR="00771346" w:rsidRPr="00771346" w:rsidRDefault="00771346" w:rsidP="00771346">
      <w:pPr>
        <w:pStyle w:val="ListParagraph"/>
        <w:numPr>
          <w:ilvl w:val="0"/>
          <w:numId w:val="1"/>
        </w:numPr>
        <w:autoSpaceDE w:val="0"/>
        <w:autoSpaceDN w:val="0"/>
        <w:adjustRightInd w:val="0"/>
        <w:spacing w:after="0" w:line="240" w:lineRule="auto"/>
        <w:rPr>
          <w:rFonts w:cstheme="minorHAnsi"/>
        </w:rPr>
      </w:pPr>
      <w:r w:rsidRPr="00771346">
        <w:rPr>
          <w:rFonts w:cstheme="minorHAnsi"/>
        </w:rPr>
        <w:t>There are resources in each community that are under-utilized and waiting to be released.</w:t>
      </w:r>
    </w:p>
    <w:p w:rsidR="00771346" w:rsidRPr="00664D20" w:rsidRDefault="00664D20" w:rsidP="00664D20">
      <w:pPr>
        <w:autoSpaceDE w:val="0"/>
        <w:autoSpaceDN w:val="0"/>
        <w:adjustRightInd w:val="0"/>
        <w:spacing w:after="0" w:line="240" w:lineRule="auto"/>
        <w:jc w:val="right"/>
        <w:rPr>
          <w:rFonts w:cstheme="minorHAnsi"/>
          <w:sz w:val="16"/>
          <w:szCs w:val="16"/>
        </w:rPr>
      </w:pPr>
      <w:r>
        <w:rPr>
          <w:sz w:val="16"/>
          <w:szCs w:val="16"/>
        </w:rPr>
        <w:t>(Dave Andrews:</w:t>
      </w:r>
      <w:r w:rsidRPr="00664D20">
        <w:rPr>
          <w:sz w:val="16"/>
          <w:szCs w:val="16"/>
        </w:rPr>
        <w:t xml:space="preserve"> </w:t>
      </w:r>
      <w:r w:rsidRPr="00664D20">
        <w:rPr>
          <w:i/>
          <w:sz w:val="16"/>
          <w:szCs w:val="16"/>
        </w:rPr>
        <w:t>Compassionate Community Work</w:t>
      </w:r>
      <w:r>
        <w:rPr>
          <w:sz w:val="16"/>
          <w:szCs w:val="16"/>
        </w:rPr>
        <w:t>)</w:t>
      </w:r>
    </w:p>
    <w:p w:rsidR="00664D20" w:rsidRDefault="00664D20" w:rsidP="00C12FBD">
      <w:pPr>
        <w:autoSpaceDE w:val="0"/>
        <w:autoSpaceDN w:val="0"/>
        <w:adjustRightInd w:val="0"/>
        <w:spacing w:after="0" w:line="240" w:lineRule="auto"/>
        <w:jc w:val="right"/>
        <w:rPr>
          <w:rFonts w:cstheme="minorHAnsi"/>
        </w:rPr>
      </w:pPr>
    </w:p>
    <w:p w:rsidR="00437164" w:rsidRDefault="00437164" w:rsidP="00C12FBD">
      <w:pPr>
        <w:autoSpaceDE w:val="0"/>
        <w:autoSpaceDN w:val="0"/>
        <w:adjustRightInd w:val="0"/>
        <w:spacing w:after="0" w:line="240" w:lineRule="auto"/>
        <w:jc w:val="right"/>
        <w:rPr>
          <w:rFonts w:cstheme="minorHAnsi"/>
        </w:rPr>
      </w:pPr>
    </w:p>
    <w:p w:rsidR="00C12FBD" w:rsidRPr="00771346" w:rsidRDefault="00C12FBD" w:rsidP="00C12FBD">
      <w:pPr>
        <w:autoSpaceDE w:val="0"/>
        <w:autoSpaceDN w:val="0"/>
        <w:adjustRightInd w:val="0"/>
        <w:spacing w:after="0" w:line="240" w:lineRule="auto"/>
        <w:jc w:val="right"/>
        <w:rPr>
          <w:rFonts w:cstheme="minorHAnsi"/>
        </w:rPr>
      </w:pPr>
      <w:r>
        <w:rPr>
          <w:rFonts w:cstheme="minorHAnsi"/>
        </w:rPr>
        <w:t>Bruce Dutton with Luke Morgan, October 2019</w:t>
      </w:r>
    </w:p>
    <w:p w:rsidR="00D63EE7" w:rsidRDefault="00D63EE7" w:rsidP="00D63EE7">
      <w:pPr>
        <w:spacing w:after="0"/>
      </w:pPr>
    </w:p>
    <w:p w:rsidR="001254FA" w:rsidRDefault="001254FA" w:rsidP="00D63EE7">
      <w:pPr>
        <w:spacing w:after="0"/>
        <w:rPr>
          <w:rFonts w:eastAsia="Times New Roman" w:cs="Arial"/>
          <w:b/>
        </w:rPr>
      </w:pPr>
      <w:r w:rsidRPr="00CD1C2F">
        <w:rPr>
          <w:rFonts w:eastAsia="Times New Roman" w:cs="Arial"/>
          <w:b/>
        </w:rPr>
        <w:t xml:space="preserve">Some suggested questions for discussion ‘over the back fence’, in your workplaces or in a group:    </w:t>
      </w:r>
    </w:p>
    <w:p w:rsidR="001254FA" w:rsidRDefault="001254FA" w:rsidP="001254FA">
      <w:pPr>
        <w:pStyle w:val="ListParagraph"/>
        <w:numPr>
          <w:ilvl w:val="0"/>
          <w:numId w:val="5"/>
        </w:numPr>
        <w:spacing w:after="0"/>
      </w:pPr>
      <w:r>
        <w:t xml:space="preserve">What did you find helpful in this discussion paper? </w:t>
      </w:r>
    </w:p>
    <w:p w:rsidR="001254FA" w:rsidRDefault="001254FA" w:rsidP="001254FA">
      <w:pPr>
        <w:pStyle w:val="ListParagraph"/>
        <w:numPr>
          <w:ilvl w:val="0"/>
          <w:numId w:val="5"/>
        </w:numPr>
        <w:shd w:val="clear" w:color="auto" w:fill="FFFFFF"/>
        <w:spacing w:after="0" w:line="240" w:lineRule="auto"/>
        <w:rPr>
          <w:rFonts w:eastAsia="Times New Roman" w:cs="Arial"/>
        </w:rPr>
      </w:pPr>
      <w:r>
        <w:rPr>
          <w:rFonts w:eastAsia="Times New Roman" w:cs="Arial"/>
        </w:rPr>
        <w:t>What did you find unhelpful about this paper?</w:t>
      </w:r>
    </w:p>
    <w:p w:rsidR="001254FA" w:rsidRDefault="001254FA" w:rsidP="001254FA">
      <w:pPr>
        <w:pStyle w:val="ListParagraph"/>
        <w:numPr>
          <w:ilvl w:val="0"/>
          <w:numId w:val="5"/>
        </w:numPr>
        <w:shd w:val="clear" w:color="auto" w:fill="FFFFFF"/>
        <w:spacing w:after="0" w:line="240" w:lineRule="auto"/>
        <w:rPr>
          <w:rFonts w:eastAsia="Times New Roman" w:cs="Arial"/>
        </w:rPr>
      </w:pPr>
      <w:r>
        <w:rPr>
          <w:rFonts w:eastAsia="Times New Roman" w:cs="Arial"/>
        </w:rPr>
        <w:t xml:space="preserve">What would you like to add to the discussion? </w:t>
      </w:r>
    </w:p>
    <w:p w:rsidR="001254FA" w:rsidRDefault="001254FA" w:rsidP="001254FA">
      <w:pPr>
        <w:pStyle w:val="ListParagraph"/>
        <w:numPr>
          <w:ilvl w:val="0"/>
          <w:numId w:val="5"/>
        </w:numPr>
        <w:spacing w:after="0"/>
      </w:pPr>
      <w:r>
        <w:t>What do you think contributes to the wellbeing of the Poatina Community?</w:t>
      </w:r>
    </w:p>
    <w:p w:rsidR="001254FA" w:rsidRDefault="001254FA" w:rsidP="001254FA">
      <w:pPr>
        <w:pStyle w:val="ListParagraph"/>
        <w:numPr>
          <w:ilvl w:val="0"/>
          <w:numId w:val="5"/>
        </w:numPr>
        <w:spacing w:after="0"/>
      </w:pPr>
      <w:r>
        <w:t>How might we achieve those things?</w:t>
      </w:r>
    </w:p>
    <w:p w:rsidR="001254FA" w:rsidRDefault="001254FA" w:rsidP="001254FA">
      <w:pPr>
        <w:pStyle w:val="ListParagraph"/>
        <w:numPr>
          <w:ilvl w:val="0"/>
          <w:numId w:val="5"/>
        </w:numPr>
        <w:spacing w:after="0"/>
      </w:pPr>
      <w:r>
        <w:t>How do you maintain a healthy balance between personal and community wellbeing?</w:t>
      </w:r>
    </w:p>
    <w:p w:rsidR="001254FA" w:rsidRPr="001254FA" w:rsidRDefault="001254FA" w:rsidP="001254FA">
      <w:pPr>
        <w:pStyle w:val="ListParagraph"/>
        <w:numPr>
          <w:ilvl w:val="0"/>
          <w:numId w:val="5"/>
        </w:numPr>
        <w:spacing w:after="0"/>
      </w:pPr>
      <w:r>
        <w:t xml:space="preserve">Which measures described in the appendices do you think we need to give attention to?    </w:t>
      </w:r>
    </w:p>
    <w:p w:rsidR="00F62B45" w:rsidRPr="00FE3B2B" w:rsidRDefault="00C12FBD" w:rsidP="00F62B45">
      <w:pPr>
        <w:spacing w:after="0"/>
      </w:pPr>
      <w:r w:rsidRPr="00671955">
        <w:rPr>
          <w:b/>
          <w:sz w:val="28"/>
          <w:szCs w:val="28"/>
        </w:rPr>
        <w:lastRenderedPageBreak/>
        <w:t xml:space="preserve">Appendix: </w:t>
      </w:r>
    </w:p>
    <w:p w:rsidR="00C12FBD" w:rsidRPr="00FE3B2B" w:rsidRDefault="00671955" w:rsidP="00AD0D50">
      <w:pPr>
        <w:pStyle w:val="Heading1"/>
        <w:numPr>
          <w:ilvl w:val="0"/>
          <w:numId w:val="8"/>
        </w:numPr>
        <w:tabs>
          <w:tab w:val="right" w:leader="dot" w:pos="8931"/>
        </w:tabs>
        <w:spacing w:before="0"/>
        <w:rPr>
          <w:rFonts w:asciiTheme="minorHAnsi" w:hAnsiTheme="minorHAnsi"/>
          <w:b/>
          <w:color w:val="auto"/>
          <w:sz w:val="22"/>
          <w:szCs w:val="22"/>
        </w:rPr>
      </w:pPr>
      <w:bookmarkStart w:id="0" w:name="_Toc494148213"/>
      <w:r w:rsidRPr="00FE3B2B">
        <w:rPr>
          <w:rFonts w:asciiTheme="minorHAnsi" w:hAnsiTheme="minorHAnsi"/>
          <w:b/>
          <w:color w:val="auto"/>
          <w:sz w:val="22"/>
          <w:szCs w:val="22"/>
        </w:rPr>
        <w:t xml:space="preserve">Poatina Community </w:t>
      </w:r>
      <w:r w:rsidR="00C12FBD" w:rsidRPr="00FE3B2B">
        <w:rPr>
          <w:rFonts w:asciiTheme="minorHAnsi" w:hAnsiTheme="minorHAnsi"/>
          <w:b/>
          <w:color w:val="auto"/>
          <w:sz w:val="22"/>
          <w:szCs w:val="22"/>
        </w:rPr>
        <w:t>Guiding Principles</w:t>
      </w:r>
      <w:bookmarkEnd w:id="0"/>
      <w:r w:rsidRPr="00FE3B2B">
        <w:rPr>
          <w:rFonts w:asciiTheme="minorHAnsi" w:hAnsiTheme="minorHAnsi"/>
          <w:b/>
          <w:color w:val="auto"/>
          <w:sz w:val="22"/>
          <w:szCs w:val="22"/>
        </w:rPr>
        <w:t>, 2017</w:t>
      </w:r>
    </w:p>
    <w:p w:rsidR="00C12FBD" w:rsidRDefault="00C12FBD" w:rsidP="00C12FBD">
      <w:pPr>
        <w:pStyle w:val="NoSpacing"/>
        <w:numPr>
          <w:ilvl w:val="0"/>
          <w:numId w:val="7"/>
        </w:numPr>
        <w:tabs>
          <w:tab w:val="right" w:leader="dot" w:pos="8931"/>
        </w:tabs>
      </w:pPr>
      <w:r>
        <w:t>Spirituality</w:t>
      </w:r>
      <w:r>
        <w:tab/>
        <w:t>28</w:t>
      </w:r>
    </w:p>
    <w:p w:rsidR="00C12FBD" w:rsidRDefault="00C12FBD" w:rsidP="00C12FBD">
      <w:pPr>
        <w:pStyle w:val="NoSpacing"/>
        <w:numPr>
          <w:ilvl w:val="0"/>
          <w:numId w:val="7"/>
        </w:numPr>
        <w:tabs>
          <w:tab w:val="right" w:leader="dot" w:pos="8931"/>
        </w:tabs>
      </w:pPr>
      <w:r>
        <w:t>Hospitality</w:t>
      </w:r>
      <w:r>
        <w:tab/>
        <w:t>27</w:t>
      </w:r>
    </w:p>
    <w:p w:rsidR="00C12FBD" w:rsidRDefault="00C12FBD" w:rsidP="00C12FBD">
      <w:pPr>
        <w:pStyle w:val="NoSpacing"/>
        <w:numPr>
          <w:ilvl w:val="0"/>
          <w:numId w:val="7"/>
        </w:numPr>
        <w:tabs>
          <w:tab w:val="right" w:leader="dot" w:pos="8931"/>
        </w:tabs>
      </w:pPr>
      <w:r>
        <w:t>People matter</w:t>
      </w:r>
      <w:r>
        <w:tab/>
        <w:t>20</w:t>
      </w:r>
    </w:p>
    <w:p w:rsidR="00C12FBD" w:rsidRDefault="00C12FBD" w:rsidP="00C12FBD">
      <w:pPr>
        <w:pStyle w:val="NoSpacing"/>
        <w:numPr>
          <w:ilvl w:val="0"/>
          <w:numId w:val="7"/>
        </w:numPr>
        <w:tabs>
          <w:tab w:val="right" w:leader="dot" w:pos="8931"/>
        </w:tabs>
      </w:pPr>
      <w:r>
        <w:t>Sustainability</w:t>
      </w:r>
      <w:r>
        <w:tab/>
        <w:t>20</w:t>
      </w:r>
    </w:p>
    <w:p w:rsidR="00C12FBD" w:rsidRDefault="00C12FBD" w:rsidP="00671955">
      <w:pPr>
        <w:pStyle w:val="NoSpacing"/>
        <w:numPr>
          <w:ilvl w:val="0"/>
          <w:numId w:val="7"/>
        </w:numPr>
        <w:tabs>
          <w:tab w:val="right" w:leader="dot" w:pos="8931"/>
        </w:tabs>
      </w:pPr>
      <w:r>
        <w:t>Creativity</w:t>
      </w:r>
      <w:r>
        <w:tab/>
        <w:t>19</w:t>
      </w:r>
    </w:p>
    <w:p w:rsidR="00C12FBD" w:rsidRDefault="00671955" w:rsidP="00671955">
      <w:pPr>
        <w:pStyle w:val="NoSpacing"/>
        <w:numPr>
          <w:ilvl w:val="0"/>
          <w:numId w:val="7"/>
        </w:numPr>
        <w:tabs>
          <w:tab w:val="right" w:leader="dot" w:pos="8931"/>
        </w:tabs>
      </w:pPr>
      <w:r>
        <w:t>R</w:t>
      </w:r>
      <w:r w:rsidR="00C12FBD">
        <w:t>espect</w:t>
      </w:r>
      <w:r w:rsidR="00C12FBD">
        <w:tab/>
        <w:t>18</w:t>
      </w:r>
    </w:p>
    <w:p w:rsidR="00C12FBD" w:rsidRDefault="00C12FBD" w:rsidP="00671955">
      <w:pPr>
        <w:pStyle w:val="NoSpacing"/>
        <w:numPr>
          <w:ilvl w:val="0"/>
          <w:numId w:val="7"/>
        </w:numPr>
        <w:tabs>
          <w:tab w:val="right" w:leader="dot" w:pos="8931"/>
        </w:tabs>
      </w:pPr>
      <w:r>
        <w:t>Generosity</w:t>
      </w:r>
      <w:r>
        <w:tab/>
        <w:t>16</w:t>
      </w:r>
    </w:p>
    <w:p w:rsidR="00C12FBD" w:rsidRDefault="00C12FBD" w:rsidP="00671955">
      <w:pPr>
        <w:pStyle w:val="NoSpacing"/>
        <w:numPr>
          <w:ilvl w:val="0"/>
          <w:numId w:val="7"/>
        </w:numPr>
        <w:tabs>
          <w:tab w:val="right" w:leader="dot" w:pos="8931"/>
        </w:tabs>
      </w:pPr>
      <w:r>
        <w:t>Reaching out / outward focus</w:t>
      </w:r>
      <w:r>
        <w:tab/>
        <w:t>16</w:t>
      </w:r>
    </w:p>
    <w:p w:rsidR="00C12FBD" w:rsidRDefault="00C12FBD" w:rsidP="00671955">
      <w:pPr>
        <w:pStyle w:val="NoSpacing"/>
        <w:numPr>
          <w:ilvl w:val="0"/>
          <w:numId w:val="7"/>
        </w:numPr>
        <w:tabs>
          <w:tab w:val="right" w:leader="dot" w:pos="8931"/>
        </w:tabs>
      </w:pPr>
      <w:r>
        <w:t>Community Ownership</w:t>
      </w:r>
      <w:r>
        <w:tab/>
        <w:t>12</w:t>
      </w:r>
    </w:p>
    <w:p w:rsidR="00C12FBD" w:rsidRDefault="00C12FBD" w:rsidP="00671955">
      <w:pPr>
        <w:pStyle w:val="NoSpacing"/>
        <w:numPr>
          <w:ilvl w:val="0"/>
          <w:numId w:val="7"/>
        </w:numPr>
        <w:tabs>
          <w:tab w:val="right" w:leader="dot" w:pos="8931"/>
        </w:tabs>
      </w:pPr>
      <w:r>
        <w:t>Social Justice</w:t>
      </w:r>
      <w:r>
        <w:tab/>
        <w:t>12</w:t>
      </w:r>
    </w:p>
    <w:p w:rsidR="00C12FBD" w:rsidRDefault="00C12FBD" w:rsidP="00671955">
      <w:pPr>
        <w:pStyle w:val="NoSpacing"/>
        <w:numPr>
          <w:ilvl w:val="0"/>
          <w:numId w:val="7"/>
        </w:numPr>
        <w:tabs>
          <w:tab w:val="right" w:leader="dot" w:pos="8931"/>
        </w:tabs>
      </w:pPr>
      <w:r>
        <w:t>Adventurous spirit</w:t>
      </w:r>
      <w:r>
        <w:tab/>
        <w:t>11</w:t>
      </w:r>
    </w:p>
    <w:p w:rsidR="00C12FBD" w:rsidRDefault="00C12FBD" w:rsidP="00671955">
      <w:pPr>
        <w:pStyle w:val="NoSpacing"/>
        <w:numPr>
          <w:ilvl w:val="0"/>
          <w:numId w:val="7"/>
        </w:numPr>
        <w:tabs>
          <w:tab w:val="right" w:leader="dot" w:pos="8931"/>
        </w:tabs>
      </w:pPr>
      <w:r>
        <w:t>Personal responsibility</w:t>
      </w:r>
      <w:r>
        <w:tab/>
        <w:t>10</w:t>
      </w:r>
    </w:p>
    <w:p w:rsidR="00C12FBD" w:rsidRDefault="00C12FBD" w:rsidP="00671955">
      <w:pPr>
        <w:pStyle w:val="NoSpacing"/>
        <w:numPr>
          <w:ilvl w:val="0"/>
          <w:numId w:val="7"/>
        </w:numPr>
        <w:tabs>
          <w:tab w:val="right" w:leader="dot" w:pos="8931"/>
        </w:tabs>
      </w:pPr>
      <w:r>
        <w:t>Accepting / non-judgmental</w:t>
      </w:r>
      <w:r>
        <w:tab/>
        <w:t>10</w:t>
      </w:r>
    </w:p>
    <w:p w:rsidR="00C12FBD" w:rsidRDefault="00C12FBD" w:rsidP="00671955">
      <w:pPr>
        <w:pStyle w:val="NoSpacing"/>
        <w:numPr>
          <w:ilvl w:val="0"/>
          <w:numId w:val="7"/>
        </w:numPr>
        <w:tabs>
          <w:tab w:val="right" w:leader="dot" w:pos="8931"/>
        </w:tabs>
      </w:pPr>
      <w:r>
        <w:t>Trust</w:t>
      </w:r>
      <w:r>
        <w:tab/>
        <w:t>10</w:t>
      </w:r>
    </w:p>
    <w:p w:rsidR="00C12FBD" w:rsidRDefault="00C12FBD" w:rsidP="00671955">
      <w:pPr>
        <w:pStyle w:val="NoSpacing"/>
        <w:numPr>
          <w:ilvl w:val="0"/>
          <w:numId w:val="7"/>
        </w:numPr>
        <w:tabs>
          <w:tab w:val="right" w:leader="dot" w:pos="8931"/>
        </w:tabs>
      </w:pPr>
      <w:r>
        <w:t>Personal and community wellbeing</w:t>
      </w:r>
      <w:r>
        <w:tab/>
        <w:t>10</w:t>
      </w:r>
    </w:p>
    <w:p w:rsidR="00C12FBD" w:rsidRDefault="00C12FBD" w:rsidP="00671955">
      <w:pPr>
        <w:pStyle w:val="NoSpacing"/>
        <w:numPr>
          <w:ilvl w:val="0"/>
          <w:numId w:val="7"/>
        </w:numPr>
        <w:tabs>
          <w:tab w:val="right" w:leader="dot" w:pos="8931"/>
        </w:tabs>
      </w:pPr>
      <w:r>
        <w:t>Engagement / Involvement</w:t>
      </w:r>
      <w:r>
        <w:tab/>
        <w:t>9</w:t>
      </w:r>
    </w:p>
    <w:p w:rsidR="00C12FBD" w:rsidRDefault="00C12FBD" w:rsidP="00671955">
      <w:pPr>
        <w:pStyle w:val="NoSpacing"/>
        <w:numPr>
          <w:ilvl w:val="0"/>
          <w:numId w:val="7"/>
        </w:numPr>
        <w:tabs>
          <w:tab w:val="right" w:leader="dot" w:pos="8931"/>
        </w:tabs>
      </w:pPr>
      <w:r>
        <w:t>Collaboration</w:t>
      </w:r>
      <w:r>
        <w:tab/>
        <w:t>9</w:t>
      </w:r>
    </w:p>
    <w:p w:rsidR="00C12FBD" w:rsidRDefault="00C12FBD" w:rsidP="00671955">
      <w:pPr>
        <w:pStyle w:val="NoSpacing"/>
        <w:numPr>
          <w:ilvl w:val="0"/>
          <w:numId w:val="7"/>
        </w:numPr>
        <w:tabs>
          <w:tab w:val="right" w:leader="dot" w:pos="8931"/>
        </w:tabs>
      </w:pPr>
      <w:r>
        <w:t>Truth</w:t>
      </w:r>
      <w:r>
        <w:tab/>
        <w:t>8</w:t>
      </w:r>
    </w:p>
    <w:p w:rsidR="00C12FBD" w:rsidRDefault="00C12FBD" w:rsidP="00671955">
      <w:pPr>
        <w:pStyle w:val="NoSpacing"/>
        <w:numPr>
          <w:ilvl w:val="0"/>
          <w:numId w:val="7"/>
        </w:numPr>
        <w:tabs>
          <w:tab w:val="right" w:leader="dot" w:pos="8931"/>
        </w:tabs>
      </w:pPr>
      <w:r>
        <w:t>Transparency / accountability</w:t>
      </w:r>
      <w:r>
        <w:tab/>
        <w:t>7</w:t>
      </w:r>
    </w:p>
    <w:p w:rsidR="00C12FBD" w:rsidRDefault="00C12FBD" w:rsidP="00671955">
      <w:pPr>
        <w:pStyle w:val="NoSpacing"/>
        <w:numPr>
          <w:ilvl w:val="0"/>
          <w:numId w:val="7"/>
        </w:numPr>
        <w:tabs>
          <w:tab w:val="right" w:leader="dot" w:pos="8931"/>
        </w:tabs>
      </w:pPr>
      <w:r>
        <w:t>Excellence</w:t>
      </w:r>
      <w:r>
        <w:tab/>
        <w:t>5</w:t>
      </w:r>
    </w:p>
    <w:p w:rsidR="00C12FBD" w:rsidRDefault="00C12FBD" w:rsidP="00671955">
      <w:pPr>
        <w:pStyle w:val="NoSpacing"/>
        <w:numPr>
          <w:ilvl w:val="0"/>
          <w:numId w:val="7"/>
        </w:numPr>
        <w:tabs>
          <w:tab w:val="right" w:leader="dot" w:pos="8931"/>
        </w:tabs>
      </w:pPr>
      <w:r>
        <w:t>Opportunity</w:t>
      </w:r>
      <w:r>
        <w:tab/>
        <w:t>1</w:t>
      </w:r>
    </w:p>
    <w:p w:rsidR="00FE3B2B" w:rsidRDefault="00FE3B2B" w:rsidP="00671955">
      <w:pPr>
        <w:pStyle w:val="NoSpacing"/>
        <w:tabs>
          <w:tab w:val="right" w:leader="dot" w:pos="8931"/>
        </w:tabs>
      </w:pPr>
    </w:p>
    <w:p w:rsidR="00C12FBD" w:rsidRPr="00FE3B2B" w:rsidRDefault="00FE3B2B" w:rsidP="00AD0D50">
      <w:pPr>
        <w:pStyle w:val="NoSpacing"/>
        <w:numPr>
          <w:ilvl w:val="0"/>
          <w:numId w:val="8"/>
        </w:numPr>
        <w:tabs>
          <w:tab w:val="right" w:leader="dot" w:pos="8931"/>
        </w:tabs>
        <w:rPr>
          <w:b/>
        </w:rPr>
      </w:pPr>
      <w:r w:rsidRPr="00FE3B2B">
        <w:rPr>
          <w:b/>
        </w:rPr>
        <w:t>City of Whittlesea Community Wellbeing Indicators Report 2017</w:t>
      </w:r>
    </w:p>
    <w:p w:rsidR="00FE3B2B" w:rsidRPr="002370E8" w:rsidRDefault="00FE3B2B" w:rsidP="00F62B45">
      <w:pPr>
        <w:spacing w:after="0"/>
        <w:rPr>
          <w:i/>
          <w:u w:val="single"/>
        </w:rPr>
      </w:pPr>
      <w:r w:rsidRPr="002370E8">
        <w:rPr>
          <w:i/>
          <w:u w:val="single"/>
        </w:rPr>
        <w:t xml:space="preserve">Inclusive and engaged community </w:t>
      </w:r>
    </w:p>
    <w:p w:rsidR="002370E8" w:rsidRDefault="00FE3B2B" w:rsidP="002370E8">
      <w:pPr>
        <w:spacing w:after="0"/>
      </w:pPr>
      <w:r>
        <w:t>Participation in community groups</w:t>
      </w:r>
      <w:r w:rsidR="002370E8">
        <w:t>; Community acceptance of diverse cultures</w:t>
      </w:r>
    </w:p>
    <w:p w:rsidR="004B6452" w:rsidRDefault="00FE3B2B" w:rsidP="00F62B45">
      <w:pPr>
        <w:spacing w:after="0"/>
      </w:pPr>
      <w:r>
        <w:t>Sense of community</w:t>
      </w:r>
    </w:p>
    <w:p w:rsidR="00FE3B2B" w:rsidRDefault="00FE3B2B" w:rsidP="00F62B45">
      <w:pPr>
        <w:spacing w:after="0"/>
      </w:pPr>
      <w:r>
        <w:t xml:space="preserve">Volunteering </w:t>
      </w:r>
    </w:p>
    <w:p w:rsidR="00FE3B2B" w:rsidRDefault="00FE3B2B" w:rsidP="00F62B45">
      <w:pPr>
        <w:spacing w:after="0"/>
      </w:pPr>
      <w:r>
        <w:t xml:space="preserve">Participation in decision making </w:t>
      </w:r>
    </w:p>
    <w:p w:rsidR="00FE3B2B" w:rsidRPr="002370E8" w:rsidRDefault="00FE3B2B" w:rsidP="00F62B45">
      <w:pPr>
        <w:spacing w:after="0"/>
        <w:rPr>
          <w:i/>
          <w:u w:val="single"/>
        </w:rPr>
      </w:pPr>
      <w:r w:rsidRPr="002370E8">
        <w:rPr>
          <w:i/>
          <w:u w:val="single"/>
        </w:rPr>
        <w:t xml:space="preserve">Accessibility in, out and around our city </w:t>
      </w:r>
    </w:p>
    <w:p w:rsidR="00FE3B2B" w:rsidRDefault="00FE3B2B" w:rsidP="00F62B45">
      <w:pPr>
        <w:spacing w:after="0"/>
      </w:pPr>
      <w:r>
        <w:t>Broadband access</w:t>
      </w:r>
    </w:p>
    <w:p w:rsidR="00FE3B2B" w:rsidRDefault="00FE3B2B" w:rsidP="00F62B45">
      <w:pPr>
        <w:spacing w:after="0"/>
      </w:pPr>
      <w:r>
        <w:t>Access to public transport</w:t>
      </w:r>
      <w:r w:rsidR="004B6452">
        <w:t xml:space="preserve">; </w:t>
      </w:r>
      <w:r>
        <w:t xml:space="preserve">Commuter travel time </w:t>
      </w:r>
    </w:p>
    <w:p w:rsidR="00FE3B2B" w:rsidRDefault="00FE3B2B" w:rsidP="00F62B45">
      <w:pPr>
        <w:spacing w:after="0"/>
      </w:pPr>
      <w:r>
        <w:t>Cycling facilities</w:t>
      </w:r>
      <w:r w:rsidR="002370E8">
        <w:t xml:space="preserve">; </w:t>
      </w:r>
      <w:r>
        <w:t xml:space="preserve">Walking facilities </w:t>
      </w:r>
    </w:p>
    <w:p w:rsidR="002370E8" w:rsidRPr="002370E8" w:rsidRDefault="00FE3B2B" w:rsidP="00F62B45">
      <w:pPr>
        <w:spacing w:after="0"/>
        <w:rPr>
          <w:u w:val="single"/>
        </w:rPr>
      </w:pPr>
      <w:r w:rsidRPr="002370E8">
        <w:rPr>
          <w:i/>
          <w:u w:val="single"/>
        </w:rPr>
        <w:t>Growing our economy</w:t>
      </w:r>
      <w:r w:rsidRPr="002370E8">
        <w:rPr>
          <w:u w:val="single"/>
        </w:rPr>
        <w:t xml:space="preserve"> </w:t>
      </w:r>
    </w:p>
    <w:p w:rsidR="00FE3B2B" w:rsidRDefault="00FE3B2B" w:rsidP="00F62B45">
      <w:pPr>
        <w:spacing w:after="0"/>
      </w:pPr>
      <w:r>
        <w:t xml:space="preserve">Income </w:t>
      </w:r>
    </w:p>
    <w:p w:rsidR="00FE3B2B" w:rsidRDefault="004B6452" w:rsidP="00F62B45">
      <w:pPr>
        <w:spacing w:after="0"/>
      </w:pPr>
      <w:r>
        <w:t xml:space="preserve">Unemployment; </w:t>
      </w:r>
      <w:r w:rsidR="00FE3B2B">
        <w:t>Underemployment</w:t>
      </w:r>
      <w:r>
        <w:t>;</w:t>
      </w:r>
      <w:r w:rsidR="00FE3B2B">
        <w:t xml:space="preserve"> </w:t>
      </w:r>
      <w:r>
        <w:t>Youth disengagement</w:t>
      </w:r>
    </w:p>
    <w:p w:rsidR="004B6452" w:rsidRDefault="00FE3B2B" w:rsidP="004B6452">
      <w:pPr>
        <w:spacing w:after="0"/>
      </w:pPr>
      <w:r>
        <w:t>Highly skilled workforce</w:t>
      </w:r>
      <w:r w:rsidR="004B6452">
        <w:t xml:space="preserve">; Qualifications </w:t>
      </w:r>
    </w:p>
    <w:p w:rsidR="00FE3B2B" w:rsidRDefault="00FE3B2B" w:rsidP="00F62B45">
      <w:pPr>
        <w:spacing w:after="0"/>
      </w:pPr>
      <w:r>
        <w:t>Local employment</w:t>
      </w:r>
      <w:r w:rsidR="004B6452">
        <w:t xml:space="preserve">; </w:t>
      </w:r>
      <w:r>
        <w:t>Local jobs</w:t>
      </w:r>
    </w:p>
    <w:p w:rsidR="00FE3B2B" w:rsidRPr="002370E8" w:rsidRDefault="00FE3B2B" w:rsidP="00F62B45">
      <w:pPr>
        <w:spacing w:after="0"/>
        <w:rPr>
          <w:i/>
          <w:u w:val="single"/>
        </w:rPr>
      </w:pPr>
      <w:r w:rsidRPr="002370E8">
        <w:rPr>
          <w:i/>
          <w:u w:val="single"/>
        </w:rPr>
        <w:t xml:space="preserve">Places and spaces to connect people </w:t>
      </w:r>
    </w:p>
    <w:p w:rsidR="00FE3B2B" w:rsidRDefault="004E507D" w:rsidP="00F62B45">
      <w:pPr>
        <w:spacing w:after="0"/>
      </w:pPr>
      <w:r>
        <w:t xml:space="preserve">Use of open space; </w:t>
      </w:r>
      <w:r w:rsidR="00FE3B2B">
        <w:t xml:space="preserve">Community meeting spaces </w:t>
      </w:r>
    </w:p>
    <w:p w:rsidR="00FE3B2B" w:rsidRDefault="00FE3B2B" w:rsidP="00FE3B2B">
      <w:pPr>
        <w:spacing w:after="0"/>
      </w:pPr>
      <w:r>
        <w:t xml:space="preserve">Recreation facilities </w:t>
      </w:r>
    </w:p>
    <w:p w:rsidR="00FE3B2B" w:rsidRDefault="00FE3B2B" w:rsidP="00FE3B2B">
      <w:pPr>
        <w:spacing w:after="0"/>
      </w:pPr>
      <w:r>
        <w:t xml:space="preserve">Participation in sports and recreation </w:t>
      </w:r>
    </w:p>
    <w:p w:rsidR="00FE3B2B" w:rsidRDefault="00FE3B2B" w:rsidP="00FE3B2B">
      <w:pPr>
        <w:spacing w:after="0"/>
      </w:pPr>
      <w:r>
        <w:t xml:space="preserve">Distinct community character </w:t>
      </w:r>
    </w:p>
    <w:p w:rsidR="00FE3B2B" w:rsidRPr="002370E8" w:rsidRDefault="00FE3B2B" w:rsidP="00FE3B2B">
      <w:pPr>
        <w:spacing w:after="0"/>
        <w:rPr>
          <w:i/>
          <w:u w:val="single"/>
        </w:rPr>
      </w:pPr>
      <w:r w:rsidRPr="002370E8">
        <w:rPr>
          <w:i/>
          <w:u w:val="single"/>
        </w:rPr>
        <w:lastRenderedPageBreak/>
        <w:t xml:space="preserve">Health and wellbeing </w:t>
      </w:r>
    </w:p>
    <w:p w:rsidR="00FE3B2B" w:rsidRDefault="00FE3B2B" w:rsidP="00FE3B2B">
      <w:pPr>
        <w:spacing w:after="0"/>
      </w:pPr>
      <w:r>
        <w:t xml:space="preserve">General health </w:t>
      </w:r>
    </w:p>
    <w:p w:rsidR="00FE3B2B" w:rsidRDefault="00FE3B2B" w:rsidP="00FE3B2B">
      <w:pPr>
        <w:spacing w:after="0"/>
      </w:pPr>
      <w:r>
        <w:t>Psychological distress</w:t>
      </w:r>
      <w:r w:rsidR="004E507D" w:rsidRPr="002370E8">
        <w:t>;</w:t>
      </w:r>
      <w:r w:rsidR="002370E8">
        <w:t xml:space="preserve"> </w:t>
      </w:r>
      <w:r>
        <w:t xml:space="preserve">Risk factors </w:t>
      </w:r>
    </w:p>
    <w:p w:rsidR="00FE3B2B" w:rsidRDefault="00FE3B2B" w:rsidP="00FE3B2B">
      <w:pPr>
        <w:spacing w:after="0"/>
      </w:pPr>
      <w:r>
        <w:t xml:space="preserve">Food insecurity </w:t>
      </w:r>
    </w:p>
    <w:p w:rsidR="002370E8" w:rsidRDefault="00FE3B2B" w:rsidP="002370E8">
      <w:pPr>
        <w:spacing w:after="0"/>
      </w:pPr>
      <w:r>
        <w:t>Gambling loss</w:t>
      </w:r>
      <w:r w:rsidR="002370E8">
        <w:t>;</w:t>
      </w:r>
      <w:r>
        <w:t xml:space="preserve"> </w:t>
      </w:r>
      <w:r w:rsidR="002370E8">
        <w:t>Family violence</w:t>
      </w:r>
    </w:p>
    <w:p w:rsidR="00FE3B2B" w:rsidRDefault="00FE3B2B" w:rsidP="00FE3B2B">
      <w:pPr>
        <w:spacing w:after="0"/>
      </w:pPr>
      <w:r>
        <w:t>Affordable housing</w:t>
      </w:r>
      <w:r w:rsidR="002370E8">
        <w:t xml:space="preserve">; </w:t>
      </w:r>
      <w:r>
        <w:t>Access to health services</w:t>
      </w:r>
      <w:r w:rsidR="002370E8">
        <w:t xml:space="preserve">; </w:t>
      </w:r>
      <w:r>
        <w:t xml:space="preserve">Access to human services </w:t>
      </w:r>
    </w:p>
    <w:p w:rsidR="00FE3B2B" w:rsidRDefault="00FE3B2B" w:rsidP="00FE3B2B">
      <w:pPr>
        <w:spacing w:after="0"/>
      </w:pPr>
      <w:r>
        <w:t xml:space="preserve">Safety in public areas </w:t>
      </w:r>
    </w:p>
    <w:p w:rsidR="00FE3B2B" w:rsidRDefault="00FE3B2B" w:rsidP="00FE3B2B">
      <w:pPr>
        <w:spacing w:after="0"/>
      </w:pPr>
      <w:r>
        <w:t xml:space="preserve">Developmental vulnerability </w:t>
      </w:r>
    </w:p>
    <w:p w:rsidR="00801473" w:rsidRDefault="002370E8" w:rsidP="00FE3B2B">
      <w:pPr>
        <w:spacing w:after="0"/>
      </w:pPr>
      <w:r>
        <w:t xml:space="preserve">Connectedness to school; </w:t>
      </w:r>
      <w:r w:rsidR="00FE3B2B">
        <w:t xml:space="preserve">Access to educational services </w:t>
      </w:r>
    </w:p>
    <w:p w:rsidR="00801473" w:rsidRPr="002370E8" w:rsidRDefault="00FE3B2B" w:rsidP="00FE3B2B">
      <w:pPr>
        <w:spacing w:after="0"/>
        <w:rPr>
          <w:i/>
          <w:u w:val="single"/>
        </w:rPr>
      </w:pPr>
      <w:r w:rsidRPr="002370E8">
        <w:rPr>
          <w:i/>
          <w:u w:val="single"/>
        </w:rPr>
        <w:t xml:space="preserve">Living sustainably </w:t>
      </w:r>
    </w:p>
    <w:p w:rsidR="00801473" w:rsidRDefault="00FE3B2B" w:rsidP="00FE3B2B">
      <w:pPr>
        <w:spacing w:after="0"/>
      </w:pPr>
      <w:r>
        <w:t>Household energy usage</w:t>
      </w:r>
      <w:r w:rsidR="002370E8">
        <w:t>,</w:t>
      </w:r>
      <w:r>
        <w:t xml:space="preserve"> waste generation</w:t>
      </w:r>
      <w:r w:rsidR="002370E8">
        <w:t xml:space="preserve">, </w:t>
      </w:r>
      <w:r>
        <w:t>recycling contamination</w:t>
      </w:r>
      <w:r w:rsidR="002370E8">
        <w:t xml:space="preserve">, </w:t>
      </w:r>
      <w:r>
        <w:t xml:space="preserve">water usage </w:t>
      </w:r>
    </w:p>
    <w:p w:rsidR="00801473" w:rsidRDefault="00FE3B2B" w:rsidP="00FE3B2B">
      <w:pPr>
        <w:spacing w:after="0"/>
      </w:pPr>
      <w:r>
        <w:t xml:space="preserve">Stewardship of the environment </w:t>
      </w:r>
    </w:p>
    <w:p w:rsidR="00801473" w:rsidRPr="002370E8" w:rsidRDefault="00FE3B2B" w:rsidP="00FE3B2B">
      <w:pPr>
        <w:spacing w:after="0"/>
        <w:rPr>
          <w:i/>
          <w:u w:val="single"/>
        </w:rPr>
      </w:pPr>
      <w:r w:rsidRPr="002370E8">
        <w:rPr>
          <w:i/>
          <w:u w:val="single"/>
        </w:rPr>
        <w:t xml:space="preserve">Good governance </w:t>
      </w:r>
    </w:p>
    <w:p w:rsidR="00801473" w:rsidRDefault="00FE3B2B" w:rsidP="00FE3B2B">
      <w:pPr>
        <w:spacing w:after="0"/>
      </w:pPr>
      <w:r>
        <w:t xml:space="preserve">Community consultation and engagement </w:t>
      </w:r>
    </w:p>
    <w:p w:rsidR="00801473" w:rsidRDefault="00FE3B2B" w:rsidP="00FE3B2B">
      <w:pPr>
        <w:spacing w:after="0"/>
      </w:pPr>
      <w:r>
        <w:t xml:space="preserve">Decisions in community’s interest </w:t>
      </w:r>
    </w:p>
    <w:p w:rsidR="00801473" w:rsidRDefault="00FE3B2B" w:rsidP="00FE3B2B">
      <w:pPr>
        <w:spacing w:after="0"/>
      </w:pPr>
      <w:r>
        <w:t xml:space="preserve">Lobbying for community </w:t>
      </w:r>
    </w:p>
    <w:p w:rsidR="00F62B45" w:rsidRDefault="002370E8" w:rsidP="00FE3B2B">
      <w:pPr>
        <w:spacing w:after="0"/>
      </w:pPr>
      <w:r>
        <w:t>C</w:t>
      </w:r>
      <w:r w:rsidR="00FE3B2B">
        <w:t xml:space="preserve">ouncil’s overall performance </w:t>
      </w:r>
    </w:p>
    <w:p w:rsidR="00F62B45" w:rsidRPr="00AD0D50" w:rsidRDefault="00437164" w:rsidP="00F62B45">
      <w:pPr>
        <w:spacing w:after="0"/>
        <w:rPr>
          <w:rFonts w:ascii="Arial" w:hAnsi="Arial" w:cs="Arial"/>
          <w:color w:val="222222"/>
          <w:sz w:val="16"/>
          <w:szCs w:val="16"/>
          <w:shd w:val="clear" w:color="auto" w:fill="FFFFFF"/>
        </w:rPr>
      </w:pPr>
      <w:hyperlink r:id="rId12" w:history="1">
        <w:r w:rsidR="00F62B45" w:rsidRPr="00AD0D50">
          <w:rPr>
            <w:rStyle w:val="Hyperlink"/>
            <w:sz w:val="16"/>
            <w:szCs w:val="16"/>
          </w:rPr>
          <w:t>https://www.whittlesea.vic.gov.au/media/2523/community-wellbeing-indicators-report_accessible-version-accessible.pdf</w:t>
        </w:r>
      </w:hyperlink>
    </w:p>
    <w:p w:rsidR="00AD0D50" w:rsidRDefault="00AD0D50" w:rsidP="00D63EE7">
      <w:pPr>
        <w:spacing w:after="0"/>
        <w:rPr>
          <w:b/>
        </w:rPr>
      </w:pPr>
    </w:p>
    <w:p w:rsidR="00D63EE7" w:rsidRPr="00AD0D50" w:rsidRDefault="00D63EE7" w:rsidP="00D63EE7">
      <w:pPr>
        <w:spacing w:after="0"/>
        <w:rPr>
          <w:b/>
        </w:rPr>
      </w:pPr>
      <w:r w:rsidRPr="00AD0D50">
        <w:rPr>
          <w:b/>
        </w:rPr>
        <w:t xml:space="preserve">The ‘Six by Six’ Model for Measuring Community </w:t>
      </w:r>
      <w:r w:rsidR="00664D20" w:rsidRPr="00AD0D50">
        <w:rPr>
          <w:b/>
        </w:rPr>
        <w:t xml:space="preserve">Wellbeing </w:t>
      </w:r>
      <w:r w:rsidR="00664D20">
        <w:rPr>
          <w:b/>
        </w:rPr>
        <w:t>(</w:t>
      </w:r>
      <w:r w:rsidR="00AD0D50">
        <w:rPr>
          <w:b/>
        </w:rPr>
        <w:t>Central Qld</w:t>
      </w:r>
      <w:r w:rsidR="00437164">
        <w:rPr>
          <w:b/>
        </w:rPr>
        <w:t xml:space="preserve"> LGAs</w:t>
      </w:r>
      <w:r w:rsidR="00AD0D50">
        <w:rPr>
          <w:b/>
        </w:rPr>
        <w:t>)</w:t>
      </w:r>
      <w:bookmarkStart w:id="1" w:name="_GoBack"/>
      <w:bookmarkEnd w:id="1"/>
    </w:p>
    <w:p w:rsidR="00D63EE7" w:rsidRPr="00AD0D50" w:rsidRDefault="00A5675D" w:rsidP="00D63EE7">
      <w:pPr>
        <w:spacing w:after="0"/>
        <w:rPr>
          <w:i/>
          <w:u w:val="single"/>
        </w:rPr>
      </w:pPr>
      <w:r w:rsidRPr="00AD0D50">
        <w:rPr>
          <w:i/>
          <w:u w:val="single"/>
        </w:rPr>
        <w:t xml:space="preserve">1. </w:t>
      </w:r>
      <w:r w:rsidR="00D63EE7" w:rsidRPr="00AD0D50">
        <w:rPr>
          <w:i/>
          <w:u w:val="single"/>
        </w:rPr>
        <w:t xml:space="preserve">Wealth &amp; Affordability </w:t>
      </w:r>
    </w:p>
    <w:p w:rsidR="00D63EE7" w:rsidRDefault="00A5675D" w:rsidP="00D63EE7">
      <w:pPr>
        <w:spacing w:after="0"/>
      </w:pPr>
      <w:r>
        <w:t xml:space="preserve">1.1 Average Cost of Renting; </w:t>
      </w:r>
      <w:r w:rsidR="00AD2B21">
        <w:t>1.2 Housing availability</w:t>
      </w:r>
      <w:r>
        <w:t>; 1.3 Housing Activity (Prices Trend);</w:t>
      </w:r>
    </w:p>
    <w:p w:rsidR="00A5675D" w:rsidRPr="008F51FD" w:rsidRDefault="00A5675D" w:rsidP="00D63EE7">
      <w:pPr>
        <w:spacing w:after="0"/>
      </w:pPr>
      <w:r>
        <w:t>1.4 Personal Income; 1.5 Economic Stress; 1.6 Income support</w:t>
      </w:r>
    </w:p>
    <w:p w:rsidR="00D63EE7" w:rsidRPr="00AD0D50" w:rsidRDefault="0003119E" w:rsidP="00D63EE7">
      <w:pPr>
        <w:spacing w:after="0"/>
        <w:rPr>
          <w:i/>
          <w:u w:val="single"/>
        </w:rPr>
      </w:pPr>
      <w:r>
        <w:rPr>
          <w:i/>
          <w:u w:val="single"/>
        </w:rPr>
        <w:t xml:space="preserve">2. </w:t>
      </w:r>
      <w:r w:rsidR="00D63EE7" w:rsidRPr="00AD0D50">
        <w:rPr>
          <w:i/>
          <w:u w:val="single"/>
        </w:rPr>
        <w:t xml:space="preserve">Safety &amp; Public Health </w:t>
      </w:r>
    </w:p>
    <w:p w:rsidR="00A5675D" w:rsidRDefault="00A5675D" w:rsidP="00D63EE7">
      <w:pPr>
        <w:spacing w:after="0"/>
      </w:pPr>
      <w:r>
        <w:t>2.1 Public Health Services; 2.2 Crimes</w:t>
      </w:r>
      <w:r w:rsidR="0003119E">
        <w:t xml:space="preserve"> a</w:t>
      </w:r>
      <w:r>
        <w:t xml:space="preserve">gainst Persons; </w:t>
      </w:r>
      <w:r w:rsidR="00D63EE7">
        <w:t xml:space="preserve">2.3 Other Offences; </w:t>
      </w:r>
    </w:p>
    <w:p w:rsidR="00D63EE7" w:rsidRDefault="00A5675D" w:rsidP="00D63EE7">
      <w:pPr>
        <w:spacing w:after="0"/>
      </w:pPr>
      <w:r>
        <w:t>2.4 Crimes</w:t>
      </w:r>
      <w:r w:rsidR="0003119E">
        <w:t xml:space="preserve"> a</w:t>
      </w:r>
      <w:r>
        <w:t>gainst Property; 2.</w:t>
      </w:r>
      <w:r w:rsidR="0003119E">
        <w:t>5 Perceptions of Safety &amp; C</w:t>
      </w:r>
      <w:r>
        <w:t>rime; 2.6 Victim of crimes</w:t>
      </w:r>
    </w:p>
    <w:p w:rsidR="00D63EE7" w:rsidRPr="0003119E" w:rsidRDefault="0003119E" w:rsidP="00D63EE7">
      <w:pPr>
        <w:spacing w:after="0"/>
        <w:rPr>
          <w:i/>
          <w:u w:val="single"/>
        </w:rPr>
      </w:pPr>
      <w:r>
        <w:rPr>
          <w:i/>
          <w:u w:val="single"/>
        </w:rPr>
        <w:t xml:space="preserve">3. </w:t>
      </w:r>
      <w:r w:rsidR="00D63EE7" w:rsidRPr="0003119E">
        <w:rPr>
          <w:i/>
          <w:u w:val="single"/>
        </w:rPr>
        <w:t xml:space="preserve">Personal Health &amp; Fitness </w:t>
      </w:r>
    </w:p>
    <w:p w:rsidR="00D63EE7" w:rsidRDefault="00D63EE7" w:rsidP="00D63EE7">
      <w:pPr>
        <w:spacing w:after="0"/>
      </w:pPr>
      <w:r>
        <w:t>3.1 Adults Overweight</w:t>
      </w:r>
      <w:r w:rsidR="00B87F6F">
        <w:t xml:space="preserve">; 3.2 Adult Physical Activity; 3.3 Alcohol Consumption; </w:t>
      </w:r>
    </w:p>
    <w:p w:rsidR="00D63EE7" w:rsidRDefault="00B87F6F" w:rsidP="00D63EE7">
      <w:pPr>
        <w:spacing w:after="0"/>
      </w:pPr>
      <w:r>
        <w:t xml:space="preserve">3.4 General Health Status; </w:t>
      </w:r>
      <w:r w:rsidR="0003119E">
        <w:t>3.5 Satisfaction with life; 3.6 Work-life B</w:t>
      </w:r>
      <w:r w:rsidR="00D63EE7">
        <w:t>alance</w:t>
      </w:r>
    </w:p>
    <w:p w:rsidR="00D63EE7" w:rsidRPr="0003119E" w:rsidRDefault="0003119E" w:rsidP="00D63EE7">
      <w:pPr>
        <w:spacing w:after="0"/>
        <w:rPr>
          <w:i/>
          <w:u w:val="single"/>
        </w:rPr>
      </w:pPr>
      <w:r>
        <w:rPr>
          <w:i/>
          <w:u w:val="single"/>
        </w:rPr>
        <w:t xml:space="preserve">4. </w:t>
      </w:r>
      <w:r w:rsidR="00D63EE7" w:rsidRPr="0003119E">
        <w:rPr>
          <w:i/>
          <w:u w:val="single"/>
        </w:rPr>
        <w:t xml:space="preserve">Diversity &amp; Learning </w:t>
      </w:r>
    </w:p>
    <w:p w:rsidR="0003119E" w:rsidRDefault="0003119E" w:rsidP="0003119E">
      <w:pPr>
        <w:spacing w:after="0"/>
      </w:pPr>
      <w:r>
        <w:t xml:space="preserve">4.1 Age Distribution; </w:t>
      </w:r>
      <w:r w:rsidR="00D63EE7">
        <w:t>4.2 Education Level</w:t>
      </w:r>
      <w:r>
        <w:t>; 4.3 Population Density;</w:t>
      </w:r>
    </w:p>
    <w:p w:rsidR="00D63EE7" w:rsidRDefault="0003119E" w:rsidP="00D63EE7">
      <w:pPr>
        <w:spacing w:after="0"/>
      </w:pPr>
      <w:r>
        <w:t xml:space="preserve">4.4 Population Growth; </w:t>
      </w:r>
      <w:r w:rsidR="00D63EE7">
        <w:t>4.5 Loc</w:t>
      </w:r>
      <w:r>
        <w:t xml:space="preserve">al Arts and Cultural Activities; </w:t>
      </w:r>
      <w:r w:rsidR="00D63EE7">
        <w:t xml:space="preserve">4.6 Diversity </w:t>
      </w:r>
    </w:p>
    <w:p w:rsidR="00D63EE7" w:rsidRPr="0003119E" w:rsidRDefault="0003119E" w:rsidP="00D63EE7">
      <w:pPr>
        <w:spacing w:after="0"/>
        <w:rPr>
          <w:i/>
          <w:u w:val="single"/>
        </w:rPr>
      </w:pPr>
      <w:r>
        <w:rPr>
          <w:i/>
          <w:u w:val="single"/>
        </w:rPr>
        <w:t xml:space="preserve">5. </w:t>
      </w:r>
      <w:r w:rsidR="00D63EE7" w:rsidRPr="0003119E">
        <w:rPr>
          <w:i/>
          <w:u w:val="single"/>
        </w:rPr>
        <w:t xml:space="preserve">Community &amp; Governance </w:t>
      </w:r>
    </w:p>
    <w:p w:rsidR="00D63EE7" w:rsidRDefault="00B87F6F" w:rsidP="00D63EE7">
      <w:pPr>
        <w:spacing w:after="0"/>
      </w:pPr>
      <w:r>
        <w:t xml:space="preserve">5.1 Citizen engagement; 5.2 Community Governance; </w:t>
      </w:r>
      <w:r w:rsidR="00D63EE7">
        <w:t xml:space="preserve">5.3 Community Connectedness  </w:t>
      </w:r>
    </w:p>
    <w:p w:rsidR="00D63EE7" w:rsidRDefault="00B87F6F" w:rsidP="00D63EE7">
      <w:pPr>
        <w:spacing w:after="0"/>
      </w:pPr>
      <w:r>
        <w:t xml:space="preserve">5.4 Personal Connectedness; 5.5 Community Trust; </w:t>
      </w:r>
      <w:r w:rsidR="0003119E">
        <w:t xml:space="preserve">5.6 </w:t>
      </w:r>
      <w:r w:rsidR="00D63EE7">
        <w:t xml:space="preserve">Community Participation  </w:t>
      </w:r>
    </w:p>
    <w:p w:rsidR="00D63EE7" w:rsidRPr="0003119E" w:rsidRDefault="0003119E" w:rsidP="00D63EE7">
      <w:pPr>
        <w:spacing w:after="0"/>
        <w:rPr>
          <w:i/>
          <w:u w:val="single"/>
        </w:rPr>
      </w:pPr>
      <w:r>
        <w:rPr>
          <w:i/>
          <w:u w:val="single"/>
        </w:rPr>
        <w:t xml:space="preserve">6. </w:t>
      </w:r>
      <w:r w:rsidR="00D63EE7" w:rsidRPr="0003119E">
        <w:rPr>
          <w:i/>
          <w:u w:val="single"/>
        </w:rPr>
        <w:t xml:space="preserve">Environment &amp; Infrastructure </w:t>
      </w:r>
    </w:p>
    <w:p w:rsidR="00D63EE7" w:rsidRDefault="00D63EE7" w:rsidP="00D63EE7">
      <w:pPr>
        <w:spacing w:after="0"/>
      </w:pPr>
      <w:r w:rsidRPr="00AD658C">
        <w:t>6.1 Parks and Gardens</w:t>
      </w:r>
      <w:r w:rsidR="00B87F6F">
        <w:t xml:space="preserve">; </w:t>
      </w:r>
      <w:r>
        <w:t>6.2 Community and Recreation</w:t>
      </w:r>
      <w:r w:rsidR="00B87F6F">
        <w:t xml:space="preserve">; </w:t>
      </w:r>
      <w:r>
        <w:t>6.3 Roads and Infrastructure</w:t>
      </w:r>
      <w:r w:rsidR="00B87F6F">
        <w:t>;</w:t>
      </w:r>
      <w:r>
        <w:t xml:space="preserve">  </w:t>
      </w:r>
    </w:p>
    <w:p w:rsidR="00D63EE7" w:rsidRDefault="00D63EE7" w:rsidP="00D63EE7">
      <w:pPr>
        <w:spacing w:after="0"/>
      </w:pPr>
      <w:r>
        <w:t>6.4 Local Development</w:t>
      </w:r>
      <w:r w:rsidR="00B87F6F">
        <w:t xml:space="preserve">; </w:t>
      </w:r>
      <w:r>
        <w:t>6.5 Environmental Issues</w:t>
      </w:r>
      <w:r w:rsidR="00B87F6F">
        <w:t xml:space="preserve">; </w:t>
      </w:r>
      <w:r>
        <w:t xml:space="preserve">6.6 Transport </w:t>
      </w:r>
    </w:p>
    <w:p w:rsidR="00D63EE7" w:rsidRPr="00AD0D50" w:rsidRDefault="00437164" w:rsidP="00D63EE7">
      <w:pPr>
        <w:spacing w:after="0"/>
        <w:rPr>
          <w:rFonts w:ascii="Arial" w:hAnsi="Arial" w:cs="Arial"/>
          <w:color w:val="222222"/>
          <w:sz w:val="16"/>
          <w:szCs w:val="16"/>
          <w:shd w:val="clear" w:color="auto" w:fill="FFFFFF"/>
        </w:rPr>
      </w:pPr>
      <w:hyperlink r:id="rId13" w:history="1">
        <w:r w:rsidR="00D63EE7" w:rsidRPr="00AD0D50">
          <w:rPr>
            <w:rStyle w:val="Hyperlink"/>
            <w:sz w:val="16"/>
            <w:szCs w:val="16"/>
          </w:rPr>
          <w:t>https://www.anzrsai.org/assets/Uploads/PublicationChapter/246-Milesetal.pdf</w:t>
        </w:r>
      </w:hyperlink>
    </w:p>
    <w:p w:rsidR="00D63EE7" w:rsidRDefault="00D63EE7" w:rsidP="00D63EE7">
      <w:pPr>
        <w:spacing w:after="0"/>
      </w:pPr>
    </w:p>
    <w:sectPr w:rsidR="00D63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21A"/>
    <w:multiLevelType w:val="hybridMultilevel"/>
    <w:tmpl w:val="CA0A5C10"/>
    <w:lvl w:ilvl="0" w:tplc="C010A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47AF6"/>
    <w:multiLevelType w:val="hybridMultilevel"/>
    <w:tmpl w:val="B9DCBAF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B708D0"/>
    <w:multiLevelType w:val="hybridMultilevel"/>
    <w:tmpl w:val="785E4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3AF59A7"/>
    <w:multiLevelType w:val="hybridMultilevel"/>
    <w:tmpl w:val="485C8120"/>
    <w:lvl w:ilvl="0" w:tplc="C8EE00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BB3578"/>
    <w:multiLevelType w:val="hybridMultilevel"/>
    <w:tmpl w:val="5AA0094C"/>
    <w:lvl w:ilvl="0" w:tplc="DBAE490A">
      <w:start w:val="1"/>
      <w:numFmt w:val="decimal"/>
      <w:lvlText w:val="%1."/>
      <w:lvlJc w:val="left"/>
      <w:pPr>
        <w:ind w:left="720" w:hanging="360"/>
      </w:pPr>
      <w:rPr>
        <w:rFonts w:eastAsia="Times New Roman"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25A56"/>
    <w:multiLevelType w:val="hybridMultilevel"/>
    <w:tmpl w:val="16588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A73CC"/>
    <w:multiLevelType w:val="hybridMultilevel"/>
    <w:tmpl w:val="B578750C"/>
    <w:lvl w:ilvl="0" w:tplc="9814C9A0">
      <w:start w:val="1"/>
      <w:numFmt w:val="lowerRoman"/>
      <w:lvlText w:val="(%1)"/>
      <w:lvlJc w:val="left"/>
      <w:pPr>
        <w:ind w:left="1080" w:hanging="720"/>
      </w:pPr>
      <w:rPr>
        <w:rFonts w:ascii="Arial" w:hAnsi="Arial" w:cs="Arial"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42F83"/>
    <w:multiLevelType w:val="hybridMultilevel"/>
    <w:tmpl w:val="9300E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61"/>
    <w:rsid w:val="0003119E"/>
    <w:rsid w:val="000B5C4B"/>
    <w:rsid w:val="001254FA"/>
    <w:rsid w:val="002370E8"/>
    <w:rsid w:val="002E485F"/>
    <w:rsid w:val="0032581A"/>
    <w:rsid w:val="003445DE"/>
    <w:rsid w:val="0036495F"/>
    <w:rsid w:val="003D4987"/>
    <w:rsid w:val="00437164"/>
    <w:rsid w:val="004B6452"/>
    <w:rsid w:val="004D43C7"/>
    <w:rsid w:val="004E507D"/>
    <w:rsid w:val="00550731"/>
    <w:rsid w:val="00600B61"/>
    <w:rsid w:val="00664D20"/>
    <w:rsid w:val="00671955"/>
    <w:rsid w:val="00771346"/>
    <w:rsid w:val="00801473"/>
    <w:rsid w:val="0086097A"/>
    <w:rsid w:val="008F51FD"/>
    <w:rsid w:val="00961F31"/>
    <w:rsid w:val="00977B52"/>
    <w:rsid w:val="009E1828"/>
    <w:rsid w:val="00A5675D"/>
    <w:rsid w:val="00AD0D50"/>
    <w:rsid w:val="00AD2B21"/>
    <w:rsid w:val="00AD658C"/>
    <w:rsid w:val="00AF05FA"/>
    <w:rsid w:val="00B44016"/>
    <w:rsid w:val="00B87F6F"/>
    <w:rsid w:val="00C00252"/>
    <w:rsid w:val="00C027E9"/>
    <w:rsid w:val="00C12FBD"/>
    <w:rsid w:val="00C9233E"/>
    <w:rsid w:val="00CD5D2C"/>
    <w:rsid w:val="00D556D4"/>
    <w:rsid w:val="00D63EE7"/>
    <w:rsid w:val="00D95D6A"/>
    <w:rsid w:val="00E778FE"/>
    <w:rsid w:val="00F1643C"/>
    <w:rsid w:val="00F62B45"/>
    <w:rsid w:val="00FE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F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46"/>
    <w:rPr>
      <w:rFonts w:ascii="Tahoma" w:hAnsi="Tahoma" w:cs="Tahoma"/>
      <w:sz w:val="16"/>
      <w:szCs w:val="16"/>
    </w:rPr>
  </w:style>
  <w:style w:type="paragraph" w:styleId="ListParagraph">
    <w:name w:val="List Paragraph"/>
    <w:basedOn w:val="Normal"/>
    <w:uiPriority w:val="34"/>
    <w:qFormat/>
    <w:rsid w:val="00771346"/>
    <w:pPr>
      <w:spacing w:after="160" w:line="259" w:lineRule="auto"/>
      <w:ind w:left="720"/>
      <w:contextualSpacing/>
    </w:pPr>
    <w:rPr>
      <w:lang w:val="en-AU"/>
    </w:rPr>
  </w:style>
  <w:style w:type="character" w:styleId="Hyperlink">
    <w:name w:val="Hyperlink"/>
    <w:basedOn w:val="DefaultParagraphFont"/>
    <w:uiPriority w:val="99"/>
    <w:unhideWhenUsed/>
    <w:rsid w:val="00B44016"/>
    <w:rPr>
      <w:color w:val="0000FF"/>
      <w:u w:val="single"/>
    </w:rPr>
  </w:style>
  <w:style w:type="character" w:styleId="FollowedHyperlink">
    <w:name w:val="FollowedHyperlink"/>
    <w:basedOn w:val="DefaultParagraphFont"/>
    <w:uiPriority w:val="99"/>
    <w:semiHidden/>
    <w:unhideWhenUsed/>
    <w:rsid w:val="00C00252"/>
    <w:rPr>
      <w:color w:val="800080" w:themeColor="followedHyperlink"/>
      <w:u w:val="single"/>
    </w:rPr>
  </w:style>
  <w:style w:type="character" w:customStyle="1" w:styleId="Heading1Char">
    <w:name w:val="Heading 1 Char"/>
    <w:basedOn w:val="DefaultParagraphFont"/>
    <w:link w:val="Heading1"/>
    <w:uiPriority w:val="9"/>
    <w:rsid w:val="00C12FBD"/>
    <w:rPr>
      <w:rFonts w:asciiTheme="majorHAnsi" w:eastAsiaTheme="majorEastAsia" w:hAnsiTheme="majorHAnsi" w:cstheme="majorBidi"/>
      <w:color w:val="365F91" w:themeColor="accent1" w:themeShade="BF"/>
      <w:sz w:val="32"/>
      <w:szCs w:val="32"/>
      <w:lang w:val="en-AU"/>
    </w:rPr>
  </w:style>
  <w:style w:type="paragraph" w:styleId="NoSpacing">
    <w:name w:val="No Spacing"/>
    <w:uiPriority w:val="1"/>
    <w:qFormat/>
    <w:rsid w:val="00C12FBD"/>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F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46"/>
    <w:rPr>
      <w:rFonts w:ascii="Tahoma" w:hAnsi="Tahoma" w:cs="Tahoma"/>
      <w:sz w:val="16"/>
      <w:szCs w:val="16"/>
    </w:rPr>
  </w:style>
  <w:style w:type="paragraph" w:styleId="ListParagraph">
    <w:name w:val="List Paragraph"/>
    <w:basedOn w:val="Normal"/>
    <w:uiPriority w:val="34"/>
    <w:qFormat/>
    <w:rsid w:val="00771346"/>
    <w:pPr>
      <w:spacing w:after="160" w:line="259" w:lineRule="auto"/>
      <w:ind w:left="720"/>
      <w:contextualSpacing/>
    </w:pPr>
    <w:rPr>
      <w:lang w:val="en-AU"/>
    </w:rPr>
  </w:style>
  <w:style w:type="character" w:styleId="Hyperlink">
    <w:name w:val="Hyperlink"/>
    <w:basedOn w:val="DefaultParagraphFont"/>
    <w:uiPriority w:val="99"/>
    <w:unhideWhenUsed/>
    <w:rsid w:val="00B44016"/>
    <w:rPr>
      <w:color w:val="0000FF"/>
      <w:u w:val="single"/>
    </w:rPr>
  </w:style>
  <w:style w:type="character" w:styleId="FollowedHyperlink">
    <w:name w:val="FollowedHyperlink"/>
    <w:basedOn w:val="DefaultParagraphFont"/>
    <w:uiPriority w:val="99"/>
    <w:semiHidden/>
    <w:unhideWhenUsed/>
    <w:rsid w:val="00C00252"/>
    <w:rPr>
      <w:color w:val="800080" w:themeColor="followedHyperlink"/>
      <w:u w:val="single"/>
    </w:rPr>
  </w:style>
  <w:style w:type="character" w:customStyle="1" w:styleId="Heading1Char">
    <w:name w:val="Heading 1 Char"/>
    <w:basedOn w:val="DefaultParagraphFont"/>
    <w:link w:val="Heading1"/>
    <w:uiPriority w:val="9"/>
    <w:rsid w:val="00C12FBD"/>
    <w:rPr>
      <w:rFonts w:asciiTheme="majorHAnsi" w:eastAsiaTheme="majorEastAsia" w:hAnsiTheme="majorHAnsi" w:cstheme="majorBidi"/>
      <w:color w:val="365F91" w:themeColor="accent1" w:themeShade="BF"/>
      <w:sz w:val="32"/>
      <w:szCs w:val="32"/>
      <w:lang w:val="en-AU"/>
    </w:rPr>
  </w:style>
  <w:style w:type="paragraph" w:styleId="NoSpacing">
    <w:name w:val="No Spacing"/>
    <w:uiPriority w:val="1"/>
    <w:qFormat/>
    <w:rsid w:val="00C12FB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development_theory" TargetMode="External"/><Relationship Id="rId13" Type="http://schemas.openxmlformats.org/officeDocument/2006/relationships/hyperlink" Target="https://www.anzrsai.org/assets/Uploads/PublicationChapter/246-Milesetal.pdf" TargetMode="External"/><Relationship Id="rId3" Type="http://schemas.microsoft.com/office/2007/relationships/stylesWithEffects" Target="stylesWithEffects.xml"/><Relationship Id="rId7" Type="http://schemas.openxmlformats.org/officeDocument/2006/relationships/hyperlink" Target="https://en.wikipedia.org/wiki/Sustainable_development" TargetMode="External"/><Relationship Id="rId12" Type="http://schemas.openxmlformats.org/officeDocument/2006/relationships/hyperlink" Target="https://www.whittlesea.vic.gov.au/media/2523/community-wellbeing-indicators-report_accessible-version-accessi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s://naaee.org/sites/default/files/civresource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Gross_National_Happiness" TargetMode="External"/><Relationship Id="rId4" Type="http://schemas.openxmlformats.org/officeDocument/2006/relationships/settings" Target="settings.xml"/><Relationship Id="rId9" Type="http://schemas.openxmlformats.org/officeDocument/2006/relationships/hyperlink" Target="https://en.wikipedia.org/wiki/Environmental_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Dutton</dc:creator>
  <cp:lastModifiedBy>Bruce Dutton</cp:lastModifiedBy>
  <cp:revision>8</cp:revision>
  <dcterms:created xsi:type="dcterms:W3CDTF">2019-10-24T02:49:00Z</dcterms:created>
  <dcterms:modified xsi:type="dcterms:W3CDTF">2019-10-31T22:29:00Z</dcterms:modified>
</cp:coreProperties>
</file>